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948" w:rsidRDefault="00965C76" w:rsidP="00CF319F">
      <w:pPr>
        <w:tabs>
          <w:tab w:val="left" w:pos="825"/>
        </w:tabs>
        <w:spacing w:after="0" w:line="259" w:lineRule="auto"/>
        <w:ind w:left="-115" w:right="-89" w:firstLine="0"/>
        <w:jc w:val="right"/>
        <w:rPr>
          <w:rFonts w:ascii="Times New Roman" w:eastAsia="Verdana" w:hAnsi="Times New Roman" w:cs="Times New Roman"/>
          <w:b/>
          <w:color w:val="333399"/>
          <w:sz w:val="24"/>
          <w:szCs w:val="24"/>
        </w:rPr>
      </w:pPr>
      <w:r w:rsidRPr="00B01948">
        <w:rPr>
          <w:rFonts w:ascii="Times New Roman" w:eastAsia="Verdana" w:hAnsi="Times New Roman" w:cs="Times New Roman"/>
          <w:b/>
          <w:color w:val="333399"/>
          <w:sz w:val="24"/>
          <w:szCs w:val="24"/>
        </w:rPr>
        <w:t xml:space="preserve"> </w:t>
      </w:r>
      <w:r w:rsidR="00B01948">
        <w:rPr>
          <w:rFonts w:ascii="Times New Roman" w:eastAsia="Verdana" w:hAnsi="Times New Roman" w:cs="Times New Roman"/>
          <w:b/>
          <w:color w:val="333399"/>
          <w:sz w:val="24"/>
          <w:szCs w:val="24"/>
        </w:rPr>
        <w:tab/>
      </w:r>
      <w:r w:rsidR="00B01948">
        <w:rPr>
          <w:rFonts w:ascii="Times New Roman" w:eastAsia="Verdana" w:hAnsi="Times New Roman" w:cs="Times New Roman"/>
          <w:b/>
          <w:noProof/>
          <w:color w:val="333399"/>
          <w:sz w:val="24"/>
          <w:szCs w:val="24"/>
        </w:rPr>
        <w:drawing>
          <wp:inline distT="0" distB="0" distL="0" distR="0" wp14:anchorId="25158EED">
            <wp:extent cx="1901825" cy="542290"/>
            <wp:effectExtent l="0" t="0" r="317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6ED" w:rsidRDefault="00C726ED" w:rsidP="00434198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C726ED" w:rsidRDefault="00C726ED" w:rsidP="00434198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BB2E53" w:rsidRPr="00BB2E53" w:rsidRDefault="00BB2E53" w:rsidP="00BB2E53">
      <w:pPr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BB2E53">
        <w:rPr>
          <w:rFonts w:ascii="Times New Roman" w:hAnsi="Times New Roman" w:cs="Times New Roman"/>
          <w:b/>
          <w:sz w:val="24"/>
        </w:rPr>
        <w:t>Upute za Natječaj za mobilnost nastavnog i nenastavnog osoblja u okviru</w:t>
      </w:r>
    </w:p>
    <w:p w:rsidR="00BB2E53" w:rsidRDefault="00BB2E53" w:rsidP="00BB2E53">
      <w:pPr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BB2E53">
        <w:rPr>
          <w:rFonts w:ascii="Times New Roman" w:hAnsi="Times New Roman" w:cs="Times New Roman"/>
          <w:b/>
          <w:sz w:val="24"/>
        </w:rPr>
        <w:t xml:space="preserve">programa </w:t>
      </w:r>
      <w:proofErr w:type="spellStart"/>
      <w:r w:rsidRPr="00BB2E53">
        <w:rPr>
          <w:rFonts w:ascii="Times New Roman" w:hAnsi="Times New Roman" w:cs="Times New Roman"/>
          <w:b/>
          <w:sz w:val="24"/>
        </w:rPr>
        <w:t>Erasmus</w:t>
      </w:r>
      <w:proofErr w:type="spellEnd"/>
      <w:r w:rsidRPr="00BB2E53">
        <w:rPr>
          <w:rFonts w:ascii="Times New Roman" w:hAnsi="Times New Roman" w:cs="Times New Roman"/>
          <w:b/>
          <w:sz w:val="24"/>
        </w:rPr>
        <w:t>+ u natječajnoj godini 202</w:t>
      </w:r>
      <w:r w:rsidR="00B11BE3">
        <w:rPr>
          <w:rFonts w:ascii="Times New Roman" w:hAnsi="Times New Roman" w:cs="Times New Roman"/>
          <w:b/>
          <w:sz w:val="24"/>
        </w:rPr>
        <w:t>1</w:t>
      </w:r>
      <w:r w:rsidRPr="00BB2E53">
        <w:rPr>
          <w:rFonts w:ascii="Times New Roman" w:hAnsi="Times New Roman" w:cs="Times New Roman"/>
          <w:b/>
          <w:sz w:val="24"/>
        </w:rPr>
        <w:t>.</w:t>
      </w:r>
    </w:p>
    <w:p w:rsidR="00BB2E53" w:rsidRPr="00BB2E53" w:rsidRDefault="00BB2E53" w:rsidP="00BB2E53">
      <w:pPr>
        <w:ind w:left="0" w:firstLine="0"/>
        <w:jc w:val="center"/>
        <w:rPr>
          <w:rFonts w:ascii="Times New Roman" w:hAnsi="Times New Roman" w:cs="Times New Roman"/>
          <w:b/>
          <w:sz w:val="24"/>
        </w:rPr>
      </w:pPr>
    </w:p>
    <w:p w:rsidR="00BB2E53" w:rsidRPr="00BD44E0" w:rsidRDefault="00BB2E53" w:rsidP="00BB2E53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BD44E0">
        <w:rPr>
          <w:rFonts w:ascii="Times New Roman" w:hAnsi="Times New Roman" w:cs="Times New Roman"/>
          <w:i/>
          <w:sz w:val="24"/>
          <w:u w:val="single"/>
        </w:rPr>
        <w:t>SVRHA MOBILNOSTI</w:t>
      </w:r>
      <w:r w:rsidRPr="00BD44E0">
        <w:rPr>
          <w:rStyle w:val="Referencafusnote"/>
          <w:rFonts w:ascii="Times New Roman" w:hAnsi="Times New Roman" w:cs="Times New Roman"/>
          <w:i/>
          <w:sz w:val="24"/>
          <w:u w:val="single"/>
        </w:rPr>
        <w:footnoteReference w:id="1"/>
      </w:r>
    </w:p>
    <w:p w:rsidR="00BB2E53" w:rsidRP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</w:p>
    <w:p w:rsid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1. Podučavanje (nastavno osoblje)</w:t>
      </w:r>
    </w:p>
    <w:p w:rsidR="00BB2E53" w:rsidRP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</w:p>
    <w:p w:rsidR="00BB2E53" w:rsidRP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2. Osposobljavanje (nastavno i nenastavno osoblje) može uključivati nekoliko vrsta</w:t>
      </w:r>
    </w:p>
    <w:p w:rsidR="00BB2E53" w:rsidRP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aktivnosti:</w:t>
      </w:r>
    </w:p>
    <w:p w:rsidR="00BB2E53" w:rsidRP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- pohađanje strukturiranog tečaja/radionice stručnog usavršavanja u organizaciji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inozemne visokoobrazovne ustanove; npr.: osiguranje kvalitete u visokom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 xml:space="preserve">obrazovanju, provedba programa </w:t>
      </w:r>
      <w:proofErr w:type="spellStart"/>
      <w:r w:rsidRPr="00BB2E53">
        <w:rPr>
          <w:rFonts w:ascii="Times New Roman" w:hAnsi="Times New Roman" w:cs="Times New Roman"/>
          <w:sz w:val="24"/>
        </w:rPr>
        <w:t>Erasmus</w:t>
      </w:r>
      <w:proofErr w:type="spellEnd"/>
      <w:r w:rsidRPr="00BB2E53">
        <w:rPr>
          <w:rFonts w:ascii="Times New Roman" w:hAnsi="Times New Roman" w:cs="Times New Roman"/>
          <w:sz w:val="24"/>
        </w:rPr>
        <w:t>+, poboljšanje organizacijskih i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komunikacijskih sposobnosti djelatnika i sve ostalo što pridonosi poboljšanju vještina,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znanja/kompetencija potrebnih za obavljanje poslova u okviru postojećeg radnog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mjesta</w:t>
      </w:r>
    </w:p>
    <w:p w:rsidR="00BB2E53" w:rsidRP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 xml:space="preserve">- rad prema modelu </w:t>
      </w:r>
      <w:proofErr w:type="spellStart"/>
      <w:r w:rsidRPr="00BB2E53">
        <w:rPr>
          <w:rFonts w:ascii="Times New Roman" w:hAnsi="Times New Roman" w:cs="Times New Roman"/>
          <w:sz w:val="24"/>
        </w:rPr>
        <w:t>job-shadowing</w:t>
      </w:r>
      <w:proofErr w:type="spellEnd"/>
      <w:r w:rsidRPr="00BB2E53">
        <w:rPr>
          <w:rFonts w:ascii="Times New Roman" w:hAnsi="Times New Roman" w:cs="Times New Roman"/>
          <w:sz w:val="24"/>
        </w:rPr>
        <w:t>, tj. praćenja rada kolega na inozemnoj ustanovi pri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obavljanju njihovih stručnih aktivnosti</w:t>
      </w:r>
    </w:p>
    <w:p w:rsid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- jezični trening usmjeren na profesionalne potrebe sudionika</w:t>
      </w:r>
    </w:p>
    <w:p w:rsidR="00BB2E53" w:rsidRP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</w:p>
    <w:p w:rsid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Europska komisija stavlja naglasak na mobilnost nastavnog osoblja u svrhu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osposobljavanja koja će omogućiti razvoj pedagoških vještina i vještina stvaranja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 xml:space="preserve">kurikuluma. Stoga je u </w:t>
      </w:r>
      <w:proofErr w:type="spellStart"/>
      <w:r w:rsidRPr="00BB2E53">
        <w:rPr>
          <w:rFonts w:ascii="Times New Roman" w:hAnsi="Times New Roman" w:cs="Times New Roman"/>
          <w:sz w:val="24"/>
        </w:rPr>
        <w:t>Mobility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B2E53">
        <w:rPr>
          <w:rFonts w:ascii="Times New Roman" w:hAnsi="Times New Roman" w:cs="Times New Roman"/>
          <w:sz w:val="24"/>
        </w:rPr>
        <w:t>agreement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 for Training dodano pitanje koje korisniku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omogućava detaljnije opisati kako će mobilnost utjecati na razvijanje ovih vještina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(primjenjivo samo za nastavno osoblje).</w:t>
      </w:r>
    </w:p>
    <w:p w:rsidR="00BB2E53" w:rsidRP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</w:p>
    <w:p w:rsidR="00BB2E53" w:rsidRP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3. Podučavanje (za nenastavno osoblje iz inozemnih tvrtki)</w:t>
      </w:r>
    </w:p>
    <w:p w:rsidR="00BB2E53" w:rsidRP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Prijavu za ovu vrstu mobilnosti podnosi sastavnica koja želi ugostiti predavača, osim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osnovnih dokumenata, uz prijavu je potrebno priložiti i Pozivno pismo u kojem je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iskazan interes sastavnice i koje potpisuje osoba koja poziva inozemnog predavača.</w:t>
      </w:r>
    </w:p>
    <w:p w:rsidR="00BB2E53" w:rsidRP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Za ovu aktivnost minimalno trajanje je 1 dan, a minimalan broj sati predavanja nije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propisan.</w:t>
      </w:r>
    </w:p>
    <w:p w:rsid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</w:p>
    <w:p w:rsidR="001B671E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Prihvatljivi sudionici za ovu aktivnost: osoblje iz inozemnih tvrtki pozvano na aktivnost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podučavanja, iz bilo koje tvrtke/poduzeća koje djeluje u zemlji sudionici u programu,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 xml:space="preserve">javne ili privatne organizacije (koja nema Povelju </w:t>
      </w:r>
      <w:proofErr w:type="spellStart"/>
      <w:r w:rsidRPr="00BB2E53">
        <w:rPr>
          <w:rFonts w:ascii="Times New Roman" w:hAnsi="Times New Roman" w:cs="Times New Roman"/>
          <w:sz w:val="24"/>
        </w:rPr>
        <w:t>Erasmus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 za visoko obrazovanje) koja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djeluje na tržištu rada ili u područjima obrazovanja, osposobljavanja i mladih uključujući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zaposlene doktorande</w:t>
      </w:r>
      <w:r>
        <w:rPr>
          <w:rFonts w:ascii="Times New Roman" w:hAnsi="Times New Roman" w:cs="Times New Roman"/>
          <w:sz w:val="24"/>
        </w:rPr>
        <w:t>).</w:t>
      </w:r>
    </w:p>
    <w:p w:rsid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lastRenderedPageBreak/>
        <w:t xml:space="preserve">4. Kombinirana mobilnost podučavanje/osposobljavanje </w:t>
      </w:r>
    </w:p>
    <w:p w:rsid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- u kombiniranoj mobilnosti podučavanje/osposobljavanje smanjuje se broj obveznih sati na 4 sata/tjedan, a popunjava se Ugovor o podučavanju (</w:t>
      </w:r>
      <w:proofErr w:type="spellStart"/>
      <w:r w:rsidRPr="00BB2E53">
        <w:rPr>
          <w:rFonts w:ascii="Times New Roman" w:hAnsi="Times New Roman" w:cs="Times New Roman"/>
          <w:sz w:val="24"/>
        </w:rPr>
        <w:t>Teaching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B2E53">
        <w:rPr>
          <w:rFonts w:ascii="Times New Roman" w:hAnsi="Times New Roman" w:cs="Times New Roman"/>
          <w:sz w:val="24"/>
        </w:rPr>
        <w:t>Agreement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) te mora postojati potpisan </w:t>
      </w:r>
      <w:proofErr w:type="spellStart"/>
      <w:r w:rsidRPr="00BB2E53">
        <w:rPr>
          <w:rFonts w:ascii="Times New Roman" w:hAnsi="Times New Roman" w:cs="Times New Roman"/>
          <w:sz w:val="24"/>
        </w:rPr>
        <w:t>Erasmus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+ među-institucijski sporazum - za nastavno osoblje koje prijavljuje mobilnost u svrhu osposobljavanja i za kombiniranu mobilnost podučavanje/osposobljavanje naglasak je na razvijanju pedagoških vještina i vještina stvaranja kurikuluma </w:t>
      </w:r>
    </w:p>
    <w:p w:rsid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</w:p>
    <w:p w:rsid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 xml:space="preserve">5. </w:t>
      </w:r>
      <w:proofErr w:type="spellStart"/>
      <w:r w:rsidRPr="00BB2E53">
        <w:rPr>
          <w:rFonts w:ascii="Times New Roman" w:hAnsi="Times New Roman" w:cs="Times New Roman"/>
          <w:sz w:val="24"/>
        </w:rPr>
        <w:t>Blended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 mobilnost </w:t>
      </w:r>
    </w:p>
    <w:p w:rsid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 xml:space="preserve">- riječ je o kombinaciji razdoblja fizičke mobilnosti s virtualnom mobilnošću Nastavno i nenastavno osoblje smije započeti svoju aktivnost virtualno na način na koji to organizira prihvatna ustanova/organizacija, no očekuje se da mobilnost nastave i fizički u trenutku kada to epidemiološka situacija dopusti. Sudionik dobiva financijsku potporu (individualnu potporu i Distance Band za put) samo ako je bilo fizičke mobilnosti u minimalnom trajanju. </w:t>
      </w:r>
    </w:p>
    <w:p w:rsid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</w:p>
    <w:p w:rsid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 xml:space="preserve">6. Virtualna mobilnost </w:t>
      </w:r>
    </w:p>
    <w:p w:rsid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- podrazumijeva aktivnosti učenja, podučavanja i osposobljavanja koje se u potpunosti izvode u online okruženju</w:t>
      </w:r>
      <w:r>
        <w:rPr>
          <w:rFonts w:ascii="Times New Roman" w:hAnsi="Times New Roman" w:cs="Times New Roman"/>
          <w:sz w:val="24"/>
        </w:rPr>
        <w:t>.</w:t>
      </w:r>
    </w:p>
    <w:p w:rsid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</w:p>
    <w:p w:rsid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 xml:space="preserve">Mobilnost u svrhu podučavanja je moguće ostvariti na visokoobrazovnim ustanovama s kojima </w:t>
      </w:r>
      <w:r w:rsidR="005875D8">
        <w:rPr>
          <w:rFonts w:ascii="Times New Roman" w:hAnsi="Times New Roman" w:cs="Times New Roman"/>
          <w:sz w:val="24"/>
        </w:rPr>
        <w:t xml:space="preserve">Visoka škola </w:t>
      </w:r>
      <w:r w:rsidRPr="00BB2E53">
        <w:rPr>
          <w:rFonts w:ascii="Times New Roman" w:hAnsi="Times New Roman" w:cs="Times New Roman"/>
          <w:sz w:val="24"/>
        </w:rPr>
        <w:t xml:space="preserve">ima potpisan </w:t>
      </w:r>
      <w:proofErr w:type="spellStart"/>
      <w:r w:rsidRPr="00BB2E53">
        <w:rPr>
          <w:rFonts w:ascii="Times New Roman" w:hAnsi="Times New Roman" w:cs="Times New Roman"/>
          <w:sz w:val="24"/>
        </w:rPr>
        <w:t>Erasmus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+ bilateralni sporazum. Popis sporazuma nalazi se u Vezanim dokumentima Natječaja. </w:t>
      </w:r>
    </w:p>
    <w:p w:rsid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</w:p>
    <w:p w:rsid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 xml:space="preserve">Mobilnost u svrhu osposobljavanja moguće je ostvariti i na ustanovama s kojima </w:t>
      </w:r>
      <w:r>
        <w:rPr>
          <w:rFonts w:ascii="Times New Roman" w:hAnsi="Times New Roman" w:cs="Times New Roman"/>
          <w:sz w:val="24"/>
        </w:rPr>
        <w:t>Visoka škola</w:t>
      </w:r>
      <w:r w:rsidRPr="00BB2E53">
        <w:rPr>
          <w:rFonts w:ascii="Times New Roman" w:hAnsi="Times New Roman" w:cs="Times New Roman"/>
          <w:sz w:val="24"/>
        </w:rPr>
        <w:t xml:space="preserve"> u Splitu nema potpisani </w:t>
      </w:r>
      <w:proofErr w:type="spellStart"/>
      <w:r w:rsidRPr="00BB2E53">
        <w:rPr>
          <w:rFonts w:ascii="Times New Roman" w:hAnsi="Times New Roman" w:cs="Times New Roman"/>
          <w:sz w:val="24"/>
        </w:rPr>
        <w:t>Erasmus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+ sporazum, uz jedan od sljedećih uvjeta: </w:t>
      </w:r>
    </w:p>
    <w:p w:rsid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 xml:space="preserve">• Prihvatna ustanova je nositeljica </w:t>
      </w:r>
      <w:proofErr w:type="spellStart"/>
      <w:r w:rsidRPr="00BB2E53">
        <w:rPr>
          <w:rFonts w:ascii="Times New Roman" w:hAnsi="Times New Roman" w:cs="Times New Roman"/>
          <w:sz w:val="24"/>
        </w:rPr>
        <w:t>Erasmus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 povelje za visoko obrazovanje (</w:t>
      </w:r>
      <w:proofErr w:type="spellStart"/>
      <w:r w:rsidRPr="00BB2E53">
        <w:rPr>
          <w:rFonts w:ascii="Times New Roman" w:hAnsi="Times New Roman" w:cs="Times New Roman"/>
          <w:sz w:val="24"/>
        </w:rPr>
        <w:t>Erasmus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 Charter for </w:t>
      </w:r>
      <w:proofErr w:type="spellStart"/>
      <w:r w:rsidRPr="00BB2E53">
        <w:rPr>
          <w:rFonts w:ascii="Times New Roman" w:hAnsi="Times New Roman" w:cs="Times New Roman"/>
          <w:sz w:val="24"/>
        </w:rPr>
        <w:t>Higher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B2E53">
        <w:rPr>
          <w:rFonts w:ascii="Times New Roman" w:hAnsi="Times New Roman" w:cs="Times New Roman"/>
          <w:sz w:val="24"/>
        </w:rPr>
        <w:t>Education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) </w:t>
      </w:r>
    </w:p>
    <w:p w:rsidR="00BD44E0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 xml:space="preserve">• U slučaju da se osposobljavanje planira na ustanovi koja nema status visokoobrazovne ustanove, tada se odnos između člana osoblja i ustanove definira individualnim planom rada. Za dolaznu mobilnost osoblja iz inozemne tvrtke/trgovačkih društava u svrhu podučavanja nije potrebno sklopiti </w:t>
      </w:r>
      <w:proofErr w:type="spellStart"/>
      <w:r w:rsidRPr="00BB2E53">
        <w:rPr>
          <w:rFonts w:ascii="Times New Roman" w:hAnsi="Times New Roman" w:cs="Times New Roman"/>
          <w:sz w:val="24"/>
        </w:rPr>
        <w:t>Erasmus</w:t>
      </w:r>
      <w:proofErr w:type="spellEnd"/>
      <w:r w:rsidRPr="00BB2E53">
        <w:rPr>
          <w:rFonts w:ascii="Times New Roman" w:hAnsi="Times New Roman" w:cs="Times New Roman"/>
          <w:sz w:val="24"/>
        </w:rPr>
        <w:t xml:space="preserve">+ sporazum. </w:t>
      </w:r>
    </w:p>
    <w:p w:rsidR="00BD44E0" w:rsidRDefault="00BD44E0" w:rsidP="00BB2E53">
      <w:pPr>
        <w:ind w:left="0" w:firstLine="0"/>
        <w:rPr>
          <w:rFonts w:ascii="Times New Roman" w:hAnsi="Times New Roman" w:cs="Times New Roman"/>
          <w:sz w:val="24"/>
        </w:rPr>
      </w:pPr>
    </w:p>
    <w:p w:rsidR="00BD44E0" w:rsidRPr="00BD44E0" w:rsidRDefault="00BB2E53" w:rsidP="00BB2E53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BD44E0">
        <w:rPr>
          <w:rFonts w:ascii="Times New Roman" w:hAnsi="Times New Roman" w:cs="Times New Roman"/>
          <w:i/>
          <w:sz w:val="24"/>
          <w:u w:val="single"/>
        </w:rPr>
        <w:t xml:space="preserve">TRAJANJE MOBILNOSTI </w:t>
      </w:r>
    </w:p>
    <w:p w:rsidR="00BD44E0" w:rsidRDefault="00BD44E0" w:rsidP="00BB2E53">
      <w:pPr>
        <w:ind w:left="0" w:firstLine="0"/>
        <w:rPr>
          <w:rFonts w:ascii="Times New Roman" w:hAnsi="Times New Roman" w:cs="Times New Roman"/>
          <w:sz w:val="24"/>
        </w:rPr>
      </w:pPr>
    </w:p>
    <w:p w:rsidR="00BD44E0" w:rsidRDefault="00BB2E53" w:rsidP="00BD44E0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 xml:space="preserve">U svrhu podučavanja najkraće trajanje mobilnosti je 2 dana, a najduže 60 dana, uz obvezu održavanja najmanje 8 sati nastave tjedno. </w:t>
      </w:r>
    </w:p>
    <w:p w:rsidR="00BD44E0" w:rsidRDefault="00BD44E0" w:rsidP="00BD44E0">
      <w:pPr>
        <w:ind w:left="0" w:firstLine="0"/>
        <w:rPr>
          <w:rFonts w:ascii="Times New Roman" w:hAnsi="Times New Roman" w:cs="Times New Roman"/>
          <w:sz w:val="24"/>
        </w:rPr>
      </w:pPr>
    </w:p>
    <w:p w:rsidR="00BD44E0" w:rsidRDefault="00BB2E53" w:rsidP="00BD44E0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 xml:space="preserve">U svrhu osposobljavanja najkraće trajanje mobilnosti je 2 dana, a najduže 60 dana. </w:t>
      </w:r>
    </w:p>
    <w:p w:rsidR="00BD44E0" w:rsidRDefault="00BD44E0" w:rsidP="00BD44E0">
      <w:pPr>
        <w:ind w:left="0" w:firstLine="0"/>
        <w:rPr>
          <w:rFonts w:ascii="Times New Roman" w:hAnsi="Times New Roman" w:cs="Times New Roman"/>
          <w:sz w:val="24"/>
        </w:rPr>
      </w:pPr>
    </w:p>
    <w:p w:rsidR="00BD44E0" w:rsidRDefault="00BB2E53" w:rsidP="00BD44E0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 xml:space="preserve">U svrhu kombinirane mobilnosti podučavanje/osposobljavanje najkraće trajanje mobilnosti je 2 dana, a najduže 60 dana, uz obvezu održavanja najmanje 4 sata nastave tjedno. </w:t>
      </w:r>
    </w:p>
    <w:p w:rsidR="00BD44E0" w:rsidRDefault="00BD44E0" w:rsidP="00BD44E0">
      <w:pPr>
        <w:ind w:left="0" w:firstLine="0"/>
        <w:rPr>
          <w:rFonts w:ascii="Times New Roman" w:hAnsi="Times New Roman" w:cs="Times New Roman"/>
          <w:sz w:val="24"/>
        </w:rPr>
      </w:pPr>
    </w:p>
    <w:p w:rsidR="00BD44E0" w:rsidRDefault="00BB2E53" w:rsidP="00BD44E0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 xml:space="preserve">Za dolaznu mobilnost osoblja aktivnost inozemne tvrtke/trgovačkih društava u svrhu podučavanja minimalno trajanje je 1 dan, a minimalan broj sati predavanja nije propisan. </w:t>
      </w:r>
    </w:p>
    <w:p w:rsidR="00BB2E53" w:rsidRDefault="00BB2E53" w:rsidP="00BB2E53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Mobilnost se mora održati u kontinuitetu.</w:t>
      </w:r>
    </w:p>
    <w:p w:rsidR="00BD44E0" w:rsidRDefault="00BD44E0" w:rsidP="00BB2E53">
      <w:pPr>
        <w:ind w:left="0" w:firstLine="0"/>
        <w:rPr>
          <w:rFonts w:ascii="Times New Roman" w:hAnsi="Times New Roman" w:cs="Times New Roman"/>
          <w:sz w:val="24"/>
        </w:rPr>
      </w:pPr>
    </w:p>
    <w:p w:rsidR="00BD44E0" w:rsidRPr="00BD44E0" w:rsidRDefault="00BD44E0" w:rsidP="00BD44E0">
      <w:pPr>
        <w:ind w:left="0" w:firstLine="0"/>
        <w:rPr>
          <w:rFonts w:ascii="Times New Roman" w:hAnsi="Times New Roman" w:cs="Times New Roman"/>
          <w:sz w:val="24"/>
        </w:rPr>
      </w:pPr>
      <w:r w:rsidRPr="00BD44E0">
        <w:rPr>
          <w:rFonts w:ascii="Times New Roman" w:hAnsi="Times New Roman" w:cs="Times New Roman"/>
          <w:sz w:val="24"/>
        </w:rPr>
        <w:t>Na trajanje mobilnosti u radnim danima može se zatražiti još najviše 2 dana namijenjena</w:t>
      </w:r>
    </w:p>
    <w:p w:rsidR="00BD44E0" w:rsidRPr="00BD44E0" w:rsidRDefault="00BD44E0" w:rsidP="00BD44E0">
      <w:pPr>
        <w:ind w:left="0" w:firstLine="0"/>
        <w:rPr>
          <w:rFonts w:ascii="Times New Roman" w:hAnsi="Times New Roman" w:cs="Times New Roman"/>
          <w:sz w:val="24"/>
        </w:rPr>
      </w:pPr>
      <w:r w:rsidRPr="00BD44E0">
        <w:rPr>
          <w:rFonts w:ascii="Times New Roman" w:hAnsi="Times New Roman" w:cs="Times New Roman"/>
          <w:sz w:val="24"/>
        </w:rPr>
        <w:t>putovanju od i do destinacije mobilnosti.</w:t>
      </w:r>
    </w:p>
    <w:p w:rsidR="00BD44E0" w:rsidRPr="00BD44E0" w:rsidRDefault="00BD44E0" w:rsidP="00BD44E0">
      <w:pPr>
        <w:ind w:left="0" w:firstLine="0"/>
        <w:rPr>
          <w:rFonts w:ascii="Times New Roman" w:hAnsi="Times New Roman" w:cs="Times New Roman"/>
          <w:sz w:val="24"/>
        </w:rPr>
      </w:pPr>
      <w:r w:rsidRPr="00BD44E0">
        <w:rPr>
          <w:rFonts w:ascii="Times New Roman" w:hAnsi="Times New Roman" w:cs="Times New Roman"/>
          <w:sz w:val="24"/>
        </w:rPr>
        <w:t>Zatraženi broj dana mobilnosti treba biti u skladu s opsegom aktivnosti planiranih tijekom</w:t>
      </w:r>
    </w:p>
    <w:p w:rsidR="00BD44E0" w:rsidRDefault="00BD44E0" w:rsidP="00BD44E0">
      <w:pPr>
        <w:ind w:left="0" w:firstLine="0"/>
        <w:rPr>
          <w:rFonts w:ascii="Times New Roman" w:hAnsi="Times New Roman" w:cs="Times New Roman"/>
          <w:sz w:val="24"/>
        </w:rPr>
      </w:pPr>
      <w:r w:rsidRPr="00BD44E0">
        <w:rPr>
          <w:rFonts w:ascii="Times New Roman" w:hAnsi="Times New Roman" w:cs="Times New Roman"/>
          <w:sz w:val="24"/>
        </w:rPr>
        <w:t>mobilnosti.</w:t>
      </w:r>
    </w:p>
    <w:p w:rsidR="00BD44E0" w:rsidRPr="00BD44E0" w:rsidRDefault="00BD44E0" w:rsidP="00BD44E0">
      <w:pPr>
        <w:ind w:left="0" w:firstLine="0"/>
        <w:rPr>
          <w:rFonts w:ascii="Times New Roman" w:hAnsi="Times New Roman" w:cs="Times New Roman"/>
          <w:sz w:val="24"/>
        </w:rPr>
      </w:pPr>
    </w:p>
    <w:p w:rsidR="00BD44E0" w:rsidRPr="00BD44E0" w:rsidRDefault="00BD44E0" w:rsidP="00BD44E0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BD44E0">
        <w:rPr>
          <w:rFonts w:ascii="Times New Roman" w:hAnsi="Times New Roman" w:cs="Times New Roman"/>
          <w:i/>
          <w:sz w:val="24"/>
          <w:u w:val="single"/>
        </w:rPr>
        <w:t>FINANCIJSKA POTPORA</w:t>
      </w:r>
    </w:p>
    <w:p w:rsidR="00BD44E0" w:rsidRPr="00BD44E0" w:rsidRDefault="00BD44E0" w:rsidP="00BD44E0">
      <w:pPr>
        <w:ind w:left="0" w:firstLine="0"/>
        <w:rPr>
          <w:rFonts w:ascii="Times New Roman" w:hAnsi="Times New Roman" w:cs="Times New Roman"/>
          <w:sz w:val="24"/>
        </w:rPr>
      </w:pPr>
    </w:p>
    <w:p w:rsidR="00BD44E0" w:rsidRDefault="00BD44E0" w:rsidP="00BD44E0">
      <w:pPr>
        <w:ind w:left="0" w:firstLine="0"/>
        <w:rPr>
          <w:rFonts w:ascii="Times New Roman" w:hAnsi="Times New Roman" w:cs="Times New Roman"/>
          <w:sz w:val="24"/>
        </w:rPr>
      </w:pPr>
      <w:proofErr w:type="spellStart"/>
      <w:r w:rsidRPr="00BD44E0">
        <w:rPr>
          <w:rFonts w:ascii="Times New Roman" w:hAnsi="Times New Roman" w:cs="Times New Roman"/>
          <w:sz w:val="24"/>
        </w:rPr>
        <w:t>Erasmus</w:t>
      </w:r>
      <w:proofErr w:type="spellEnd"/>
      <w:r w:rsidRPr="00BD44E0">
        <w:rPr>
          <w:rFonts w:ascii="Times New Roman" w:hAnsi="Times New Roman" w:cs="Times New Roman"/>
          <w:sz w:val="24"/>
        </w:rPr>
        <w:t>+ financijska potpora služi kao sufinanciranje mobilnosti.</w:t>
      </w:r>
    </w:p>
    <w:p w:rsidR="00BD44E0" w:rsidRPr="00BD44E0" w:rsidRDefault="00BD44E0" w:rsidP="00BD44E0">
      <w:pPr>
        <w:ind w:left="0" w:firstLine="0"/>
        <w:rPr>
          <w:rFonts w:ascii="Times New Roman" w:hAnsi="Times New Roman" w:cs="Times New Roman"/>
          <w:sz w:val="24"/>
        </w:rPr>
      </w:pPr>
    </w:p>
    <w:p w:rsidR="00BD44E0" w:rsidRDefault="00BD44E0" w:rsidP="00BD44E0">
      <w:pPr>
        <w:ind w:left="0" w:firstLine="0"/>
        <w:rPr>
          <w:rFonts w:ascii="Times New Roman" w:hAnsi="Times New Roman" w:cs="Times New Roman"/>
          <w:sz w:val="24"/>
        </w:rPr>
      </w:pPr>
      <w:r w:rsidRPr="00BD44E0">
        <w:rPr>
          <w:rFonts w:ascii="Times New Roman" w:hAnsi="Times New Roman" w:cs="Times New Roman"/>
          <w:sz w:val="24"/>
        </w:rPr>
        <w:t xml:space="preserve">Iznos financijske potpore – </w:t>
      </w:r>
      <w:proofErr w:type="spellStart"/>
      <w:r w:rsidRPr="00BD44E0">
        <w:rPr>
          <w:rFonts w:ascii="Times New Roman" w:hAnsi="Times New Roman" w:cs="Times New Roman"/>
          <w:sz w:val="24"/>
        </w:rPr>
        <w:t>granta</w:t>
      </w:r>
      <w:proofErr w:type="spellEnd"/>
      <w:r w:rsidRPr="00BD44E0">
        <w:rPr>
          <w:rFonts w:ascii="Times New Roman" w:hAnsi="Times New Roman" w:cs="Times New Roman"/>
          <w:sz w:val="24"/>
        </w:rPr>
        <w:t xml:space="preserve"> za svaku osobu čini 80% najvišeg iznosa dnevnice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određene od strane Europske komisije (za iznose vidjeti Tablicu za izračun financijske potpore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za (ne)nastavno osoblje u Vezanim dokumentima Natječaja).</w:t>
      </w:r>
    </w:p>
    <w:p w:rsidR="00BD44E0" w:rsidRPr="00BD44E0" w:rsidRDefault="00BD44E0" w:rsidP="00BD44E0">
      <w:pPr>
        <w:ind w:left="0" w:firstLine="0"/>
        <w:rPr>
          <w:rFonts w:ascii="Times New Roman" w:hAnsi="Times New Roman" w:cs="Times New Roman"/>
          <w:sz w:val="24"/>
        </w:rPr>
      </w:pPr>
    </w:p>
    <w:p w:rsidR="00BD44E0" w:rsidRDefault="00BD44E0" w:rsidP="00BD44E0">
      <w:pPr>
        <w:ind w:left="0" w:firstLine="0"/>
        <w:rPr>
          <w:rFonts w:ascii="Times New Roman" w:hAnsi="Times New Roman" w:cs="Times New Roman"/>
          <w:sz w:val="24"/>
        </w:rPr>
      </w:pPr>
      <w:r w:rsidRPr="00BD44E0">
        <w:rPr>
          <w:rFonts w:ascii="Times New Roman" w:hAnsi="Times New Roman" w:cs="Times New Roman"/>
          <w:sz w:val="24"/>
        </w:rPr>
        <w:t>Sukladno Pravilniku o izmjenama i dopunama Pravilnika o porezu na dohodak, dnevnice ne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podliježu oporezivanju.</w:t>
      </w:r>
    </w:p>
    <w:p w:rsidR="00BD44E0" w:rsidRPr="00BD44E0" w:rsidRDefault="00BD44E0" w:rsidP="00BD44E0">
      <w:pPr>
        <w:ind w:left="0" w:firstLine="0"/>
        <w:rPr>
          <w:rFonts w:ascii="Times New Roman" w:hAnsi="Times New Roman" w:cs="Times New Roman"/>
          <w:sz w:val="24"/>
        </w:rPr>
      </w:pPr>
    </w:p>
    <w:p w:rsidR="00BD44E0" w:rsidRDefault="00BD44E0" w:rsidP="00BD44E0">
      <w:pPr>
        <w:ind w:left="0" w:firstLine="0"/>
        <w:rPr>
          <w:rFonts w:ascii="Times New Roman" w:hAnsi="Times New Roman" w:cs="Times New Roman"/>
          <w:sz w:val="24"/>
        </w:rPr>
      </w:pPr>
      <w:r w:rsidRPr="00BD44E0">
        <w:rPr>
          <w:rFonts w:ascii="Times New Roman" w:hAnsi="Times New Roman" w:cs="Times New Roman"/>
          <w:sz w:val="24"/>
        </w:rPr>
        <w:t>Nastavno i nenastavno osoblje ima pravo na naknadu troškova putovanja iz Hrvatske do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odredišta mobilnosti u inozemstvu. Putni troškovi dodjeljuju se na temelju udaljenosti do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odredišta mobilnosti (vidjeti dokument Iznosi financijske potpore) u obliku paušalnog iznosa.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Udaljenost u kilometrima računa se pomoću kalkulatora objavljenog na stranicama Europske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komisije (http://ec.europa.eu/programmes/erasmus-plus/tools/distance_en.htm). Iznos za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troškove puta izračunava se na temelju kalkulatorom određene zračne udaljenosti između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polazišta i destinacije u jednom smjeru, a doprinos trošku se odnosi na dvosmjerno putovanje.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Osoblje je dužno čuvati putnu dokumentaciju za potrebe obračuna putnog naloga.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Putni nalog se otvara na sastavnici.</w:t>
      </w:r>
      <w:r>
        <w:rPr>
          <w:rFonts w:ascii="Times New Roman" w:hAnsi="Times New Roman" w:cs="Times New Roman"/>
          <w:sz w:val="24"/>
        </w:rPr>
        <w:t xml:space="preserve"> </w:t>
      </w:r>
    </w:p>
    <w:p w:rsidR="00BD44E0" w:rsidRDefault="00BD44E0" w:rsidP="00BD44E0">
      <w:pPr>
        <w:ind w:left="0" w:firstLine="0"/>
        <w:rPr>
          <w:rFonts w:ascii="Times New Roman" w:hAnsi="Times New Roman" w:cs="Times New Roman"/>
          <w:sz w:val="24"/>
        </w:rPr>
      </w:pPr>
    </w:p>
    <w:p w:rsidR="00BD44E0" w:rsidRDefault="00BD44E0" w:rsidP="00BD44E0">
      <w:pPr>
        <w:ind w:left="0" w:firstLine="0"/>
        <w:rPr>
          <w:rFonts w:ascii="Times New Roman" w:hAnsi="Times New Roman" w:cs="Times New Roman"/>
          <w:sz w:val="24"/>
        </w:rPr>
      </w:pPr>
      <w:r w:rsidRPr="00BD44E0">
        <w:rPr>
          <w:rFonts w:ascii="Times New Roman" w:hAnsi="Times New Roman" w:cs="Times New Roman"/>
          <w:sz w:val="24"/>
        </w:rPr>
        <w:t>U putne troškove ne uračunavaju se troškovi nastali uslijed otkaza putovanja niti troškovi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putnog osiguranja.</w:t>
      </w:r>
    </w:p>
    <w:p w:rsidR="00BD44E0" w:rsidRPr="00BD44E0" w:rsidRDefault="00BD44E0" w:rsidP="00BD44E0">
      <w:pPr>
        <w:ind w:left="0" w:firstLine="0"/>
        <w:rPr>
          <w:rFonts w:ascii="Times New Roman" w:hAnsi="Times New Roman" w:cs="Times New Roman"/>
          <w:sz w:val="24"/>
        </w:rPr>
      </w:pPr>
    </w:p>
    <w:p w:rsidR="00BD44E0" w:rsidRPr="00BD44E0" w:rsidRDefault="00BD44E0" w:rsidP="00BD44E0">
      <w:pPr>
        <w:ind w:left="0" w:firstLine="0"/>
        <w:rPr>
          <w:rFonts w:ascii="Times New Roman" w:hAnsi="Times New Roman" w:cs="Times New Roman"/>
          <w:sz w:val="24"/>
        </w:rPr>
      </w:pPr>
      <w:r w:rsidRPr="00BD44E0">
        <w:rPr>
          <w:rFonts w:ascii="Times New Roman" w:hAnsi="Times New Roman" w:cs="Times New Roman"/>
          <w:sz w:val="24"/>
        </w:rPr>
        <w:t>Broj dodijeljenih financijskih potpora-</w:t>
      </w:r>
      <w:proofErr w:type="spellStart"/>
      <w:r w:rsidRPr="00BD44E0">
        <w:rPr>
          <w:rFonts w:ascii="Times New Roman" w:hAnsi="Times New Roman" w:cs="Times New Roman"/>
          <w:sz w:val="24"/>
        </w:rPr>
        <w:t>granta</w:t>
      </w:r>
      <w:proofErr w:type="spellEnd"/>
      <w:r w:rsidRPr="00BD44E0">
        <w:rPr>
          <w:rFonts w:ascii="Times New Roman" w:hAnsi="Times New Roman" w:cs="Times New Roman"/>
          <w:sz w:val="24"/>
        </w:rPr>
        <w:t xml:space="preserve"> ovisi o broju prijavljenih kandidata, trajanju</w:t>
      </w:r>
    </w:p>
    <w:p w:rsidR="00BD44E0" w:rsidRDefault="00BD44E0" w:rsidP="00BD44E0">
      <w:pPr>
        <w:ind w:left="0" w:firstLine="0"/>
        <w:rPr>
          <w:rFonts w:ascii="Times New Roman" w:hAnsi="Times New Roman" w:cs="Times New Roman"/>
          <w:sz w:val="24"/>
        </w:rPr>
      </w:pPr>
      <w:r w:rsidRPr="00BD44E0">
        <w:rPr>
          <w:rFonts w:ascii="Times New Roman" w:hAnsi="Times New Roman" w:cs="Times New Roman"/>
          <w:sz w:val="24"/>
        </w:rPr>
        <w:t>mobilnosti te o osiguranim financijskim sredstvima.</w:t>
      </w:r>
    </w:p>
    <w:p w:rsidR="00B11BE3" w:rsidRDefault="00B11BE3" w:rsidP="00BD44E0">
      <w:pPr>
        <w:ind w:left="0" w:firstLine="0"/>
        <w:rPr>
          <w:rFonts w:ascii="Times New Roman" w:hAnsi="Times New Roman" w:cs="Times New Roman"/>
          <w:sz w:val="24"/>
        </w:rPr>
      </w:pPr>
    </w:p>
    <w:p w:rsidR="00B11BE3" w:rsidRDefault="00B11BE3" w:rsidP="00B11BE3">
      <w:pPr>
        <w:ind w:left="0" w:firstLine="0"/>
        <w:rPr>
          <w:rFonts w:ascii="Times New Roman" w:hAnsi="Times New Roman" w:cs="Times New Roman"/>
          <w:sz w:val="24"/>
          <w:u w:val="single"/>
        </w:rPr>
      </w:pPr>
      <w:r w:rsidRPr="00B11BE3">
        <w:rPr>
          <w:rFonts w:ascii="Times New Roman" w:hAnsi="Times New Roman" w:cs="Times New Roman"/>
          <w:sz w:val="24"/>
          <w:u w:val="single"/>
        </w:rPr>
        <w:t>DODATAK ZA „ZELENO“ PUTOVANJE (GREEN TRAVEL)</w:t>
      </w:r>
    </w:p>
    <w:p w:rsidR="00B11BE3" w:rsidRPr="00B11BE3" w:rsidRDefault="00B11BE3" w:rsidP="00B11BE3">
      <w:pPr>
        <w:ind w:left="0" w:firstLine="0"/>
        <w:rPr>
          <w:rFonts w:ascii="Times New Roman" w:hAnsi="Times New Roman" w:cs="Times New Roman"/>
          <w:sz w:val="24"/>
          <w:u w:val="single"/>
        </w:rPr>
      </w:pPr>
    </w:p>
    <w:p w:rsidR="00B11BE3" w:rsidRPr="00B11BE3" w:rsidRDefault="00B11BE3" w:rsidP="00B11BE3">
      <w:pPr>
        <w:ind w:left="0" w:firstLine="0"/>
        <w:rPr>
          <w:rFonts w:ascii="Times New Roman" w:hAnsi="Times New Roman" w:cs="Times New Roman"/>
          <w:sz w:val="24"/>
        </w:rPr>
      </w:pPr>
      <w:r w:rsidRPr="00B11BE3">
        <w:rPr>
          <w:rFonts w:ascii="Times New Roman" w:hAnsi="Times New Roman" w:cs="Times New Roman"/>
          <w:sz w:val="24"/>
        </w:rPr>
        <w:t>Sudionici mobilnosti koji koriste zeleni način putovanja (npr. vlak, autobus, bicikl) mogu primiti</w:t>
      </w:r>
    </w:p>
    <w:p w:rsidR="00B11BE3" w:rsidRPr="00B11BE3" w:rsidRDefault="00B11BE3" w:rsidP="00B11BE3">
      <w:pPr>
        <w:ind w:left="0" w:firstLine="0"/>
        <w:rPr>
          <w:rFonts w:ascii="Times New Roman" w:hAnsi="Times New Roman" w:cs="Times New Roman"/>
          <w:sz w:val="24"/>
        </w:rPr>
      </w:pPr>
      <w:r w:rsidRPr="00B11BE3">
        <w:rPr>
          <w:rFonts w:ascii="Times New Roman" w:hAnsi="Times New Roman" w:cs="Times New Roman"/>
          <w:sz w:val="24"/>
        </w:rPr>
        <w:t>jednokratni dodatni financijski poticaj kao dodatni iznos za pojedinačnu potporu za povratno</w:t>
      </w:r>
    </w:p>
    <w:p w:rsidR="00B11BE3" w:rsidRPr="00B11BE3" w:rsidRDefault="00B11BE3" w:rsidP="00B11BE3">
      <w:pPr>
        <w:ind w:left="0" w:firstLine="0"/>
        <w:rPr>
          <w:rFonts w:ascii="Times New Roman" w:hAnsi="Times New Roman" w:cs="Times New Roman"/>
          <w:sz w:val="24"/>
        </w:rPr>
      </w:pPr>
      <w:r w:rsidRPr="00B11BE3">
        <w:rPr>
          <w:rFonts w:ascii="Times New Roman" w:hAnsi="Times New Roman" w:cs="Times New Roman"/>
          <w:sz w:val="24"/>
        </w:rPr>
        <w:t>putovanje, ako se za putovanje u oba smjera koristi zeleni način putovanja.</w:t>
      </w:r>
    </w:p>
    <w:p w:rsidR="00B11BE3" w:rsidRPr="00B11BE3" w:rsidRDefault="00B11BE3" w:rsidP="00B11BE3">
      <w:pPr>
        <w:ind w:left="0" w:firstLine="0"/>
        <w:rPr>
          <w:rFonts w:ascii="Times New Roman" w:hAnsi="Times New Roman" w:cs="Times New Roman"/>
          <w:sz w:val="24"/>
        </w:rPr>
      </w:pPr>
      <w:r w:rsidRPr="00B11BE3">
        <w:rPr>
          <w:rFonts w:ascii="Times New Roman" w:hAnsi="Times New Roman" w:cs="Times New Roman"/>
          <w:sz w:val="24"/>
        </w:rPr>
        <w:t>U trenutku sklapanja ugovora o dodjeli financijske potpore sa Sveučilištem u Splitu, definirat</w:t>
      </w:r>
    </w:p>
    <w:p w:rsidR="00B11BE3" w:rsidRPr="00B11BE3" w:rsidRDefault="00B11BE3" w:rsidP="00B11BE3">
      <w:pPr>
        <w:ind w:left="0" w:firstLine="0"/>
        <w:rPr>
          <w:rFonts w:ascii="Times New Roman" w:hAnsi="Times New Roman" w:cs="Times New Roman"/>
          <w:sz w:val="24"/>
        </w:rPr>
      </w:pPr>
      <w:r w:rsidRPr="00B11BE3">
        <w:rPr>
          <w:rFonts w:ascii="Times New Roman" w:hAnsi="Times New Roman" w:cs="Times New Roman"/>
          <w:sz w:val="24"/>
        </w:rPr>
        <w:t>će se financiranje zelenog načina putovanja te će sudionici potpisivati Izjavu o korištenju</w:t>
      </w:r>
    </w:p>
    <w:p w:rsidR="00B11BE3" w:rsidRDefault="00B11BE3" w:rsidP="00B11BE3">
      <w:pPr>
        <w:ind w:left="0" w:firstLine="0"/>
        <w:rPr>
          <w:rFonts w:ascii="Times New Roman" w:hAnsi="Times New Roman" w:cs="Times New Roman"/>
          <w:sz w:val="24"/>
        </w:rPr>
      </w:pPr>
      <w:r w:rsidRPr="00B11BE3">
        <w:rPr>
          <w:rFonts w:ascii="Times New Roman" w:hAnsi="Times New Roman" w:cs="Times New Roman"/>
          <w:sz w:val="24"/>
        </w:rPr>
        <w:t>zelenog putovanja.</w:t>
      </w:r>
    </w:p>
    <w:p w:rsidR="00BD44E0" w:rsidRDefault="00BD44E0" w:rsidP="00BD44E0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</w:p>
    <w:p w:rsidR="00B11BE3" w:rsidRDefault="00B11BE3" w:rsidP="00BD44E0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</w:p>
    <w:p w:rsidR="00B11BE3" w:rsidRDefault="00B11BE3" w:rsidP="00BD44E0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</w:p>
    <w:p w:rsidR="00BD44E0" w:rsidRDefault="00BD44E0" w:rsidP="00BD44E0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BD44E0">
        <w:rPr>
          <w:rFonts w:ascii="Times New Roman" w:hAnsi="Times New Roman" w:cs="Times New Roman"/>
          <w:i/>
          <w:sz w:val="24"/>
          <w:u w:val="single"/>
        </w:rPr>
        <w:lastRenderedPageBreak/>
        <w:t>ISPLATA FINANCIJSKE POTPORE</w:t>
      </w:r>
    </w:p>
    <w:p w:rsidR="00BD44E0" w:rsidRPr="00BD44E0" w:rsidRDefault="00BD44E0" w:rsidP="00BD44E0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</w:p>
    <w:p w:rsidR="00BD44E0" w:rsidRPr="00BD44E0" w:rsidRDefault="00BD44E0" w:rsidP="00BD44E0">
      <w:pPr>
        <w:ind w:left="0" w:firstLine="0"/>
        <w:rPr>
          <w:rFonts w:ascii="Times New Roman" w:hAnsi="Times New Roman" w:cs="Times New Roman"/>
          <w:sz w:val="24"/>
        </w:rPr>
      </w:pPr>
      <w:r w:rsidRPr="00BD44E0">
        <w:rPr>
          <w:rFonts w:ascii="Times New Roman" w:hAnsi="Times New Roman" w:cs="Times New Roman"/>
          <w:sz w:val="24"/>
        </w:rPr>
        <w:t xml:space="preserve">Osobe koje ostvare pravo na financijsku potporu za mobilnost sklopit će sa </w:t>
      </w:r>
      <w:r>
        <w:rPr>
          <w:rFonts w:ascii="Times New Roman" w:hAnsi="Times New Roman" w:cs="Times New Roman"/>
          <w:sz w:val="24"/>
        </w:rPr>
        <w:t xml:space="preserve">Visokom školom </w:t>
      </w:r>
      <w:r w:rsidRPr="00BD44E0">
        <w:rPr>
          <w:rFonts w:ascii="Times New Roman" w:hAnsi="Times New Roman" w:cs="Times New Roman"/>
          <w:sz w:val="24"/>
        </w:rPr>
        <w:t xml:space="preserve">Ugovor o dodjeli financijske potpore za </w:t>
      </w:r>
      <w:proofErr w:type="spellStart"/>
      <w:r w:rsidRPr="00BD44E0">
        <w:rPr>
          <w:rFonts w:ascii="Times New Roman" w:hAnsi="Times New Roman" w:cs="Times New Roman"/>
          <w:sz w:val="24"/>
        </w:rPr>
        <w:t>Erasmus</w:t>
      </w:r>
      <w:proofErr w:type="spellEnd"/>
      <w:r w:rsidRPr="00BD44E0">
        <w:rPr>
          <w:rFonts w:ascii="Times New Roman" w:hAnsi="Times New Roman" w:cs="Times New Roman"/>
          <w:sz w:val="24"/>
        </w:rPr>
        <w:t>+ mobilnost osoblja u svrhu</w:t>
      </w:r>
      <w:r w:rsidR="00F9363D"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 xml:space="preserve">podučavanja/Ugovor o dodjeli financijske potpore za </w:t>
      </w:r>
      <w:proofErr w:type="spellStart"/>
      <w:r w:rsidRPr="00BD44E0">
        <w:rPr>
          <w:rFonts w:ascii="Times New Roman" w:hAnsi="Times New Roman" w:cs="Times New Roman"/>
          <w:sz w:val="24"/>
        </w:rPr>
        <w:t>Erasmus</w:t>
      </w:r>
      <w:proofErr w:type="spellEnd"/>
      <w:r w:rsidRPr="00BD44E0">
        <w:rPr>
          <w:rFonts w:ascii="Times New Roman" w:hAnsi="Times New Roman" w:cs="Times New Roman"/>
          <w:sz w:val="24"/>
        </w:rPr>
        <w:t>+ mobilnost osoblja u svrhu</w:t>
      </w:r>
      <w:r w:rsidR="00F9363D"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osposobljavanja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 xml:space="preserve">kojim se reguliraju međusobna prava i obveze. </w:t>
      </w:r>
    </w:p>
    <w:p w:rsidR="00BD44E0" w:rsidRPr="00BD44E0" w:rsidRDefault="00BD44E0" w:rsidP="00BD44E0">
      <w:pPr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Visoka škola</w:t>
      </w:r>
      <w:r w:rsidRPr="00BD44E0">
        <w:rPr>
          <w:rFonts w:ascii="Times New Roman" w:hAnsi="Times New Roman" w:cs="Times New Roman"/>
          <w:sz w:val="24"/>
        </w:rPr>
        <w:t xml:space="preserve"> se obvezuje na žiro račun , uz nalog za prijenos sredstava, isplatiti</w:t>
      </w:r>
      <w:r w:rsidR="00F9363D"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financijsku</w:t>
      </w:r>
      <w:r w:rsidR="00F9363D"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potporu za Korisnika.</w:t>
      </w:r>
    </w:p>
    <w:p w:rsidR="00BD44E0" w:rsidRDefault="00BD44E0" w:rsidP="00BD44E0">
      <w:pPr>
        <w:ind w:left="0" w:firstLine="0"/>
        <w:rPr>
          <w:rFonts w:ascii="Times New Roman" w:hAnsi="Times New Roman" w:cs="Times New Roman"/>
          <w:sz w:val="24"/>
        </w:rPr>
      </w:pPr>
      <w:r w:rsidRPr="00BD44E0">
        <w:rPr>
          <w:rFonts w:ascii="Times New Roman" w:hAnsi="Times New Roman" w:cs="Times New Roman"/>
          <w:sz w:val="24"/>
        </w:rPr>
        <w:t xml:space="preserve">Odobreni iznos financijskih sredstava za Korisnika </w:t>
      </w:r>
      <w:r w:rsidR="00F9363D">
        <w:rPr>
          <w:rFonts w:ascii="Times New Roman" w:hAnsi="Times New Roman" w:cs="Times New Roman"/>
          <w:sz w:val="24"/>
        </w:rPr>
        <w:t>Visoka škola</w:t>
      </w:r>
      <w:r w:rsidRPr="00BD44E0">
        <w:rPr>
          <w:rFonts w:ascii="Times New Roman" w:hAnsi="Times New Roman" w:cs="Times New Roman"/>
          <w:sz w:val="24"/>
        </w:rPr>
        <w:t xml:space="preserve"> će doznačiti na žiro račun</w:t>
      </w:r>
      <w:r w:rsidR="00F9363D"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najkasnije 30 dana od potpisivanja Ugovora o dodjeli financijske potpore za</w:t>
      </w:r>
      <w:r w:rsidR="00F936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44E0">
        <w:rPr>
          <w:rFonts w:ascii="Times New Roman" w:hAnsi="Times New Roman" w:cs="Times New Roman"/>
          <w:sz w:val="24"/>
        </w:rPr>
        <w:t>Erasmus</w:t>
      </w:r>
      <w:proofErr w:type="spellEnd"/>
      <w:r w:rsidRPr="00BD44E0">
        <w:rPr>
          <w:rFonts w:ascii="Times New Roman" w:hAnsi="Times New Roman" w:cs="Times New Roman"/>
          <w:sz w:val="24"/>
        </w:rPr>
        <w:t>+ mobilnost osoblja u svrhu podučavanja / Ugovora o dodjeli financijske potpore za</w:t>
      </w:r>
      <w:r w:rsidR="00F936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44E0">
        <w:rPr>
          <w:rFonts w:ascii="Times New Roman" w:hAnsi="Times New Roman" w:cs="Times New Roman"/>
          <w:sz w:val="24"/>
        </w:rPr>
        <w:t>Erasmus</w:t>
      </w:r>
      <w:proofErr w:type="spellEnd"/>
      <w:r w:rsidRPr="00BD44E0">
        <w:rPr>
          <w:rFonts w:ascii="Times New Roman" w:hAnsi="Times New Roman" w:cs="Times New Roman"/>
          <w:sz w:val="24"/>
        </w:rPr>
        <w:t>+</w:t>
      </w:r>
      <w:r w:rsidR="00F9363D"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mobilnost osoblja u svrhu osposobljavanja, u kunskoj protuvrijednosti prema tečaju</w:t>
      </w:r>
      <w:r w:rsidR="00F9363D"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 xml:space="preserve">koji određuje </w:t>
      </w:r>
      <w:r w:rsidR="00F9363D">
        <w:rPr>
          <w:rFonts w:ascii="Times New Roman" w:hAnsi="Times New Roman" w:cs="Times New Roman"/>
          <w:sz w:val="24"/>
        </w:rPr>
        <w:t xml:space="preserve">Visoka škola </w:t>
      </w:r>
      <w:r w:rsidRPr="00BD44E0">
        <w:rPr>
          <w:rFonts w:ascii="Times New Roman" w:hAnsi="Times New Roman" w:cs="Times New Roman"/>
          <w:sz w:val="24"/>
        </w:rPr>
        <w:t>, a prema uputama Agencije za mobilnost i programe EU (u daljem</w:t>
      </w:r>
      <w:r w:rsidR="00F9363D"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tekstu AMPEU), sukladno važećim propisima Republike Hrvatske i pravilima AMPEU.</w:t>
      </w:r>
    </w:p>
    <w:p w:rsidR="00BD44E0" w:rsidRDefault="00BD44E0" w:rsidP="00BD44E0">
      <w:pPr>
        <w:ind w:left="0" w:firstLine="0"/>
        <w:rPr>
          <w:rFonts w:ascii="Times New Roman" w:hAnsi="Times New Roman" w:cs="Times New Roman"/>
          <w:sz w:val="24"/>
        </w:rPr>
      </w:pPr>
    </w:p>
    <w:p w:rsidR="00F9363D" w:rsidRDefault="00F9363D" w:rsidP="00BD44E0">
      <w:pPr>
        <w:ind w:left="0" w:firstLine="0"/>
        <w:rPr>
          <w:rFonts w:ascii="Times New Roman" w:hAnsi="Times New Roman" w:cs="Times New Roman"/>
          <w:sz w:val="24"/>
        </w:rPr>
      </w:pPr>
    </w:p>
    <w:p w:rsidR="00F9363D" w:rsidRPr="00F9363D" w:rsidRDefault="00F9363D" w:rsidP="00F9363D">
      <w:pPr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sz w:val="24"/>
        </w:rPr>
        <w:t>Financijska potpora isplatit će se Korisniku u obliku predujma po putnom nalogu, a konačan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iznos financijske potpore određuje/utvrđuje se nakon što sudionik ispuni EU upitnik u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 xml:space="preserve">internetskom alatu </w:t>
      </w:r>
      <w:proofErr w:type="spellStart"/>
      <w:r w:rsidRPr="00F9363D">
        <w:rPr>
          <w:rFonts w:ascii="Times New Roman" w:hAnsi="Times New Roman" w:cs="Times New Roman"/>
          <w:sz w:val="24"/>
        </w:rPr>
        <w:t>Mobility</w:t>
      </w:r>
      <w:proofErr w:type="spellEnd"/>
      <w:r w:rsidRPr="00F9363D">
        <w:rPr>
          <w:rFonts w:ascii="Times New Roman" w:hAnsi="Times New Roman" w:cs="Times New Roman"/>
          <w:sz w:val="24"/>
        </w:rPr>
        <w:t xml:space="preserve"> Tool i dostavi izvornik potvrde inozemne ustanove o sudjelovanju.</w:t>
      </w:r>
    </w:p>
    <w:p w:rsidR="00F9363D" w:rsidRDefault="00F9363D" w:rsidP="00F9363D">
      <w:pPr>
        <w:ind w:left="0" w:firstLine="0"/>
        <w:rPr>
          <w:rFonts w:ascii="Times New Roman" w:hAnsi="Times New Roman" w:cs="Times New Roman"/>
          <w:sz w:val="24"/>
        </w:rPr>
      </w:pPr>
    </w:p>
    <w:p w:rsidR="00F9363D" w:rsidRDefault="00F9363D" w:rsidP="00F9363D">
      <w:pPr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Visoka škola </w:t>
      </w:r>
      <w:r w:rsidRPr="00F9363D">
        <w:rPr>
          <w:rFonts w:ascii="Times New Roman" w:hAnsi="Times New Roman" w:cs="Times New Roman"/>
          <w:sz w:val="24"/>
        </w:rPr>
        <w:t>je dužno isplatiti samo ona sredstva koja mu je doznačila Nacionalna agencija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odnosno Europska komisija.</w:t>
      </w:r>
    </w:p>
    <w:p w:rsidR="00F9363D" w:rsidRPr="00F9363D" w:rsidRDefault="00F9363D" w:rsidP="00F9363D">
      <w:pPr>
        <w:ind w:left="0" w:firstLine="0"/>
        <w:rPr>
          <w:rFonts w:ascii="Times New Roman" w:hAnsi="Times New Roman" w:cs="Times New Roman"/>
          <w:sz w:val="24"/>
        </w:rPr>
      </w:pPr>
    </w:p>
    <w:p w:rsidR="00F9363D" w:rsidRDefault="00F9363D" w:rsidP="00F9363D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F9363D">
        <w:rPr>
          <w:rFonts w:ascii="Times New Roman" w:hAnsi="Times New Roman" w:cs="Times New Roman"/>
          <w:i/>
          <w:sz w:val="24"/>
          <w:u w:val="single"/>
        </w:rPr>
        <w:t>OSIGURANJE</w:t>
      </w:r>
    </w:p>
    <w:p w:rsidR="00F9363D" w:rsidRPr="00F9363D" w:rsidRDefault="00F9363D" w:rsidP="00F9363D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</w:p>
    <w:p w:rsidR="00F9363D" w:rsidRDefault="00F9363D" w:rsidP="00F9363D">
      <w:pPr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sz w:val="24"/>
        </w:rPr>
        <w:t>Korisnik je dužan biti zdravstveno osiguran za vrijeme trajanja mobilnosti u inozemstvu.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Korisniku koji je zdravstveno osiguran u Republici Hrvatskoj, u područnom uredu HZZO-a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prema mjestu prebivališta može se na osobni zahtjev, besplatno, izdati Europska kartica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zdravstvenog osiguranja (u daljnjem tekstu EKZO). Korisnik za vrijeme trajanja mobilnosti u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bilo kojoj od država članica EU, Islandu, Lihtenštajnu i Norveškoj temeljem EKZO-a može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koristiti neodgodivu zdravstvenu zaštitu.</w:t>
      </w:r>
    </w:p>
    <w:p w:rsidR="00F9363D" w:rsidRPr="00F9363D" w:rsidRDefault="00F9363D" w:rsidP="00F9363D">
      <w:pPr>
        <w:ind w:left="0" w:firstLine="0"/>
        <w:rPr>
          <w:rFonts w:ascii="Times New Roman" w:hAnsi="Times New Roman" w:cs="Times New Roman"/>
          <w:sz w:val="24"/>
        </w:rPr>
      </w:pPr>
    </w:p>
    <w:p w:rsidR="00F9363D" w:rsidRPr="00F9363D" w:rsidRDefault="00F9363D" w:rsidP="00F9363D">
      <w:pPr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sz w:val="24"/>
        </w:rPr>
        <w:t>Osoblje koje mobilnost želi ostvariti u Turskoj ili Makedoniji dužno je sklopiti policu osiguranja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koja mora uključivati zdravstveno osiguranje u inozemstvu. Polica se može sklopiti s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osiguravajućim društvom prema vlastitom izboru u Republici Hrvatskoj ili u državi u kojoj će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se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ostvariti mobilnost.</w:t>
      </w:r>
    </w:p>
    <w:p w:rsidR="00F9363D" w:rsidRDefault="00F9363D" w:rsidP="00F9363D">
      <w:pPr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sz w:val="24"/>
        </w:rPr>
        <w:t>Osnovno osiguranje obično osigurava nacionalno zdravstveno osiguranje sudionika i za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njegovog boravka u drugoj zemlji EU preko europske zdravstvene iskaznice. Međutim,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osiguranje koje pokriva europska zdravstvena iskaznica ili privatno osiguranje možda nije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dovoljno, posebno u slučaju repatrijacije i određene liječničke intervencije stoga je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 xml:space="preserve">preporuka </w:t>
      </w:r>
      <w:r>
        <w:rPr>
          <w:rFonts w:ascii="Times New Roman" w:hAnsi="Times New Roman" w:cs="Times New Roman"/>
          <w:sz w:val="24"/>
        </w:rPr>
        <w:t>Visoke škole</w:t>
      </w:r>
      <w:r w:rsidRPr="00F9363D">
        <w:rPr>
          <w:rFonts w:ascii="Times New Roman" w:hAnsi="Times New Roman" w:cs="Times New Roman"/>
          <w:sz w:val="24"/>
        </w:rPr>
        <w:t xml:space="preserve"> sklopiti dodatnu policu zdravstvenog osiguranja.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 xml:space="preserve">Ukoliko je na </w:t>
      </w:r>
      <w:r>
        <w:rPr>
          <w:rFonts w:ascii="Times New Roman" w:hAnsi="Times New Roman" w:cs="Times New Roman"/>
          <w:sz w:val="24"/>
        </w:rPr>
        <w:t>Visokoj školi</w:t>
      </w:r>
      <w:r w:rsidRPr="00F9363D">
        <w:rPr>
          <w:rFonts w:ascii="Times New Roman" w:hAnsi="Times New Roman" w:cs="Times New Roman"/>
          <w:sz w:val="24"/>
        </w:rPr>
        <w:t xml:space="preserve"> putno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osiguranje regulirano na drugačiji način, Korisnik je dužan isto</w:t>
      </w:r>
      <w:r w:rsidR="00B11BE3"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naglasiti prije upućivanja na mobilnost.</w:t>
      </w:r>
    </w:p>
    <w:p w:rsidR="00F9363D" w:rsidRDefault="00F9363D" w:rsidP="00F9363D">
      <w:pPr>
        <w:ind w:left="0" w:firstLine="0"/>
        <w:rPr>
          <w:rFonts w:ascii="Times New Roman" w:hAnsi="Times New Roman" w:cs="Times New Roman"/>
          <w:sz w:val="24"/>
        </w:rPr>
      </w:pPr>
    </w:p>
    <w:p w:rsidR="00B11BE3" w:rsidRPr="00F9363D" w:rsidRDefault="00B11BE3" w:rsidP="00F9363D">
      <w:pPr>
        <w:ind w:left="0" w:firstLine="0"/>
        <w:rPr>
          <w:rFonts w:ascii="Times New Roman" w:hAnsi="Times New Roman" w:cs="Times New Roman"/>
          <w:sz w:val="24"/>
        </w:rPr>
      </w:pPr>
    </w:p>
    <w:p w:rsidR="00F9363D" w:rsidRDefault="00F9363D" w:rsidP="00F9363D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F9363D">
        <w:rPr>
          <w:rFonts w:ascii="Times New Roman" w:hAnsi="Times New Roman" w:cs="Times New Roman"/>
          <w:i/>
          <w:sz w:val="24"/>
          <w:u w:val="single"/>
        </w:rPr>
        <w:lastRenderedPageBreak/>
        <w:t>PROMJENA INSTITUCIJE</w:t>
      </w:r>
    </w:p>
    <w:p w:rsidR="00F9363D" w:rsidRPr="00F9363D" w:rsidRDefault="00F9363D" w:rsidP="00F9363D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</w:p>
    <w:p w:rsidR="00F9363D" w:rsidRPr="00F9363D" w:rsidRDefault="00F9363D" w:rsidP="00F9363D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F9363D">
        <w:rPr>
          <w:rFonts w:ascii="Times New Roman" w:hAnsi="Times New Roman" w:cs="Times New Roman"/>
          <w:sz w:val="24"/>
        </w:rPr>
        <w:t>Naknadna promjena natječajem odobrene institucije nije moguća.</w:t>
      </w:r>
      <w:r w:rsidRPr="00F9363D">
        <w:rPr>
          <w:rFonts w:ascii="Times New Roman" w:hAnsi="Times New Roman" w:cs="Times New Roman"/>
          <w:sz w:val="24"/>
        </w:rPr>
        <w:cr/>
      </w:r>
    </w:p>
    <w:p w:rsidR="00F9363D" w:rsidRDefault="00F9363D" w:rsidP="00F9363D">
      <w:pPr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i/>
          <w:sz w:val="24"/>
          <w:u w:val="single"/>
        </w:rPr>
        <w:t>OSOBLJE BEZ FINANCIJSKE POTPORE</w:t>
      </w:r>
    </w:p>
    <w:p w:rsidR="00F9363D" w:rsidRPr="00F9363D" w:rsidRDefault="00F9363D" w:rsidP="00F9363D">
      <w:pPr>
        <w:ind w:left="0" w:firstLine="0"/>
        <w:rPr>
          <w:rFonts w:ascii="Times New Roman" w:hAnsi="Times New Roman" w:cs="Times New Roman"/>
          <w:sz w:val="24"/>
        </w:rPr>
      </w:pPr>
    </w:p>
    <w:p w:rsidR="00F9363D" w:rsidRPr="00F9363D" w:rsidRDefault="00F9363D" w:rsidP="00F9363D">
      <w:pPr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sz w:val="24"/>
        </w:rPr>
        <w:t>Kandidat koji se prijavio na Natječaj, ali mu nije odobrena financijska potpora, može ostvariti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pravo na mobilnost o vlastitom trošku.</w:t>
      </w:r>
    </w:p>
    <w:p w:rsidR="00F9363D" w:rsidRDefault="00F9363D" w:rsidP="00F9363D">
      <w:pPr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sz w:val="24"/>
        </w:rPr>
        <w:t>Na mobilnost bez financijske potpore primjenjuju se ista pravila kao i za mobilnost uz</w:t>
      </w:r>
    </w:p>
    <w:p w:rsidR="00F9363D" w:rsidRDefault="00F9363D" w:rsidP="00F9363D">
      <w:pPr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sz w:val="24"/>
        </w:rPr>
        <w:t>financijsku potporu.</w:t>
      </w:r>
    </w:p>
    <w:p w:rsidR="00F9363D" w:rsidRPr="00F9363D" w:rsidRDefault="00F9363D" w:rsidP="00F9363D">
      <w:pPr>
        <w:ind w:left="0" w:firstLine="0"/>
        <w:rPr>
          <w:rFonts w:ascii="Times New Roman" w:hAnsi="Times New Roman" w:cs="Times New Roman"/>
          <w:sz w:val="24"/>
        </w:rPr>
      </w:pPr>
    </w:p>
    <w:p w:rsidR="00F9363D" w:rsidRPr="00F9363D" w:rsidRDefault="00F9363D" w:rsidP="00F9363D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F9363D">
        <w:rPr>
          <w:rFonts w:ascii="Times New Roman" w:hAnsi="Times New Roman" w:cs="Times New Roman"/>
          <w:i/>
          <w:sz w:val="24"/>
          <w:u w:val="single"/>
        </w:rPr>
        <w:t>ZABRANA DVOSTRUKOG FINANCIRANJA</w:t>
      </w:r>
    </w:p>
    <w:p w:rsidR="00F9363D" w:rsidRPr="00F9363D" w:rsidRDefault="00F9363D" w:rsidP="00F9363D">
      <w:pPr>
        <w:ind w:left="0" w:firstLine="0"/>
        <w:rPr>
          <w:rFonts w:ascii="Times New Roman" w:hAnsi="Times New Roman" w:cs="Times New Roman"/>
          <w:sz w:val="24"/>
        </w:rPr>
      </w:pPr>
    </w:p>
    <w:p w:rsidR="00F9363D" w:rsidRPr="00F9363D" w:rsidRDefault="00F9363D" w:rsidP="00F9363D">
      <w:pPr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sz w:val="24"/>
        </w:rPr>
        <w:t xml:space="preserve">Korisnik ne može dobiti financijsku potporu u sklopu programa </w:t>
      </w:r>
      <w:proofErr w:type="spellStart"/>
      <w:r w:rsidRPr="00F9363D">
        <w:rPr>
          <w:rFonts w:ascii="Times New Roman" w:hAnsi="Times New Roman" w:cs="Times New Roman"/>
          <w:sz w:val="24"/>
        </w:rPr>
        <w:t>Erasmus</w:t>
      </w:r>
      <w:proofErr w:type="spellEnd"/>
      <w:r w:rsidRPr="00F9363D">
        <w:rPr>
          <w:rFonts w:ascii="Times New Roman" w:hAnsi="Times New Roman" w:cs="Times New Roman"/>
          <w:sz w:val="24"/>
        </w:rPr>
        <w:t>+ ukoliko je njegova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mobilnost dodatno financirana iz sredstava koja potječu iz Europske unije. Prijavom na</w:t>
      </w:r>
    </w:p>
    <w:p w:rsidR="00BD44E0" w:rsidRDefault="00F9363D" w:rsidP="00F9363D">
      <w:pPr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sz w:val="24"/>
        </w:rPr>
        <w:t>Natječaj, kandidati potpisuju izjavu o zabrani dvostrukog financiranja.</w:t>
      </w:r>
    </w:p>
    <w:p w:rsidR="00F9363D" w:rsidRDefault="00F9363D" w:rsidP="00F9363D">
      <w:pPr>
        <w:ind w:left="0" w:firstLine="0"/>
        <w:rPr>
          <w:rFonts w:ascii="Times New Roman" w:hAnsi="Times New Roman" w:cs="Times New Roman"/>
          <w:sz w:val="24"/>
        </w:rPr>
      </w:pPr>
    </w:p>
    <w:p w:rsidR="00B11BE3" w:rsidRPr="00B11BE3" w:rsidRDefault="00B11BE3" w:rsidP="00B11BE3">
      <w:pPr>
        <w:ind w:left="0" w:firstLine="0"/>
        <w:rPr>
          <w:rFonts w:ascii="Times New Roman" w:hAnsi="Times New Roman" w:cs="Times New Roman"/>
          <w:sz w:val="24"/>
          <w:u w:val="single"/>
        </w:rPr>
      </w:pPr>
      <w:r w:rsidRPr="00B11BE3">
        <w:rPr>
          <w:rFonts w:ascii="Times New Roman" w:hAnsi="Times New Roman" w:cs="Times New Roman"/>
          <w:sz w:val="24"/>
          <w:u w:val="single"/>
        </w:rPr>
        <w:t xml:space="preserve">OSOBLJE S MANJE MOGUĆNOSTI </w:t>
      </w:r>
    </w:p>
    <w:p w:rsidR="00B11BE3" w:rsidRPr="00B11BE3" w:rsidRDefault="00B11BE3" w:rsidP="00B11BE3">
      <w:pPr>
        <w:ind w:left="0" w:firstLine="0"/>
        <w:rPr>
          <w:rFonts w:ascii="Times New Roman" w:hAnsi="Times New Roman" w:cs="Times New Roman"/>
          <w:sz w:val="24"/>
        </w:rPr>
      </w:pPr>
    </w:p>
    <w:p w:rsidR="00F9363D" w:rsidRPr="00B11BE3" w:rsidRDefault="00B11BE3" w:rsidP="00B11BE3">
      <w:pPr>
        <w:ind w:left="0" w:firstLine="0"/>
        <w:rPr>
          <w:rFonts w:ascii="Times New Roman" w:hAnsi="Times New Roman" w:cs="Times New Roman"/>
          <w:sz w:val="28"/>
        </w:rPr>
      </w:pPr>
      <w:r w:rsidRPr="00B11BE3">
        <w:rPr>
          <w:rFonts w:ascii="Times New Roman" w:hAnsi="Times New Roman" w:cs="Times New Roman"/>
          <w:sz w:val="24"/>
        </w:rPr>
        <w:t>Osoba s manje mogućnosti potencijalni je sudionik čije je osobno, fizičko, mentalno ili zdravstveno stanje takvo da njegovo sudjelovanje u projektu / aktivnosti mobilnosti ne bi bilo moguće bez dodatne financijske ili druge vrste potpore. Visoka učilišta koja su odabrala studente i/ili osoblje s manje mogućnosti mogu zatražiti dodatna bespovratna sredstva od nacionalne agencije za pokrivanje dodatnih troškov</w:t>
      </w:r>
      <w:bookmarkStart w:id="0" w:name="_GoBack"/>
      <w:bookmarkEnd w:id="0"/>
      <w:r w:rsidRPr="00B11BE3">
        <w:rPr>
          <w:rFonts w:ascii="Times New Roman" w:hAnsi="Times New Roman" w:cs="Times New Roman"/>
          <w:sz w:val="24"/>
        </w:rPr>
        <w:t>a njihova sudjelovanja u aktivnostima mobilnosti. Za sudionike s manje mogućnosti, (...) s fizičkim, psihičkim ili zdravstvenim poteškoćama, potpora u obliku bespovratnih sredstava stoga može biti viša od maksimalnih pojedinačnih iznosa bespovratnih sredstava propisanih u dokumentu Nacionalni iznosi KA131 Natječaj 131. Osobe u pratnji studenata i osoblja s manje mogućnosti imaju pravo na doprinos na temelju stvarnih troškova.</w:t>
      </w:r>
    </w:p>
    <w:sectPr w:rsidR="00F9363D" w:rsidRPr="00B11BE3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4" w:right="1355" w:bottom="278" w:left="14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0D7" w:rsidRDefault="008010D7">
      <w:pPr>
        <w:spacing w:after="0" w:line="240" w:lineRule="auto"/>
      </w:pPr>
      <w:r>
        <w:separator/>
      </w:r>
    </w:p>
  </w:endnote>
  <w:endnote w:type="continuationSeparator" w:id="0">
    <w:p w:rsidR="008010D7" w:rsidRDefault="0080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71E" w:rsidRDefault="00965C76">
    <w:pPr>
      <w:spacing w:after="79" w:line="259" w:lineRule="auto"/>
      <w:ind w:left="0" w:right="11" w:firstLine="0"/>
      <w:jc w:val="right"/>
    </w:pPr>
    <w:r>
      <w:rPr>
        <w:rFonts w:ascii="Calibri" w:eastAsia="Calibri" w:hAnsi="Calibri" w:cs="Calibri"/>
      </w:rPr>
      <w:t xml:space="preserve"> </w:t>
    </w:r>
  </w:p>
  <w:p w:rsidR="001B671E" w:rsidRDefault="00965C76">
    <w:pPr>
      <w:spacing w:after="0" w:line="259" w:lineRule="auto"/>
      <w:ind w:left="-4" w:right="11" w:firstLine="0"/>
      <w:jc w:val="right"/>
    </w:pPr>
    <w:r>
      <w:rPr>
        <w:rFonts w:ascii="Calibri" w:eastAsia="Calibri" w:hAnsi="Calibri" w:cs="Calibri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898525</wp:posOffset>
              </wp:positionH>
              <wp:positionV relativeFrom="page">
                <wp:posOffset>9335770</wp:posOffset>
              </wp:positionV>
              <wp:extent cx="5756910" cy="6350"/>
              <wp:effectExtent l="0" t="0" r="0" b="0"/>
              <wp:wrapSquare wrapText="bothSides"/>
              <wp:docPr id="5615" name="Group 56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6910" cy="6350"/>
                        <a:chOff x="0" y="0"/>
                        <a:chExt cx="5756910" cy="6350"/>
                      </a:xfrm>
                    </wpg:grpSpPr>
                    <wps:wsp>
                      <wps:cNvPr id="5616" name="Shape 5616"/>
                      <wps:cNvSpPr/>
                      <wps:spPr>
                        <a:xfrm>
                          <a:off x="0" y="0"/>
                          <a:ext cx="5756910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6910" h="6350">
                              <a:moveTo>
                                <a:pt x="0" y="0"/>
                              </a:moveTo>
                              <a:lnTo>
                                <a:pt x="5756910" y="6350"/>
                              </a:lnTo>
                            </a:path>
                          </a:pathLst>
                        </a:custGeom>
                        <a:ln w="25400" cap="flat">
                          <a:round/>
                        </a:ln>
                      </wps:spPr>
                      <wps:style>
                        <a:lnRef idx="1">
                          <a:srgbClr val="33339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79A060" id="Group 5615" o:spid="_x0000_s1026" style="position:absolute;margin-left:70.75pt;margin-top:735.1pt;width:453.3pt;height:.5pt;z-index:251658240;mso-position-horizontal-relative:page;mso-position-vertical-relative:page" coordsize="5756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0AYAIAANcFAAAOAAAAZHJzL2Uyb0RvYy54bWykVE1v2zAMvQ/YfxB8b+yks7cYcXpot1yG&#10;rWi7H6DIkm1AlgRJiZN/P4r+iJEAPbQ+2LREPj0+Utw8nFpJjty6RqsiWi6SiHDFdNmoqoj+vf26&#10;+xER56kqqdSKF9GZu+hh+/XLpjM5X+lay5JbAiDK5Z0potp7k8exYzVvqVtowxVsCm1b6uHXVnFp&#10;aQforYxXSZLFnbalsZpx52D1qd+MtogvBGf+rxCOeyKLCLh5fFt878M73m5oXllq6oYNNOgHWLS0&#10;UXDoBPVEPSUH29xAtQ2z2mnhF0y3sRaiYRxzgGyWyVU2O6sPBnOp8q4yk0wg7ZVOH4Zlf47PljRl&#10;EaXZMo2Ioi1UCQ8muAICdabKwW9nzat5tsNC1f+FnE/CtuEL2ZATSnuepOUnTxgspt/TbL2ECjDY&#10;y+7TQXlWQ3luglj9872weDwyDswmIp2BFnIXldznVHqtqeEovgvZX1TKRpXQI6iUhTYKx4PfJJHL&#10;Haj1KX2mRGnODs7vuEad6fG3833jlqNF69FiJzWaFtr/3cY31Ie4QDKYpJsVqh7qFDZbfeRvGt38&#10;VbWA42VXqrnXVPNZycG9dwIjHLndDAbSAHueqFSB0Sr9loTGoTAehKQe7xncDFWCBogHn6B+rzda&#10;/ix5oCvVCxfQ3tCBS4xztto/SkuOFAbCPTzrdSgewoBriBGNlFNUchuV4IPrVJqa9ljY0AAzHICQ&#10;A1IA5TiLrmHZwKYfSHCtIc9xLAHWFIS0tPJTvIJhirxn2QZzr8szXlEUBG4DSoPTAxkNky6Mp/k/&#10;el3m8fY/AAAA//8DAFBLAwQUAAYACAAAACEAr/30WuIAAAAOAQAADwAAAGRycy9kb3ducmV2Lnht&#10;bEyPwU7DMBBE70j8g7VI3Kjt0EIV4lRVBZwqpLZIiJsbb5Oo8TqK3ST9exwucNvZHc2+yVajbViP&#10;na8dKZAzAQypcKamUsHn4e1hCcwHTUY3jlDBFT2s8tubTKfGDbTDfh9KFkPIp1pBFUKbcu6LCq32&#10;M9cixdvJdVaHKLuSm04PMdw2PBHiiVtdU/xQ6RY3FRbn/cUqeB/0sH6Ur/32fNpcvw+Lj6+tRKXu&#10;78b1C7CAY/gzw4Qf0SGPTEd3IeNZE/VcLqJ1Gp5FAmyyiPlSAjv+7mQCPM/4/xr5DwAAAP//AwBQ&#10;SwECLQAUAAYACAAAACEAtoM4kv4AAADhAQAAEwAAAAAAAAAAAAAAAAAAAAAAW0NvbnRlbnRfVHlw&#10;ZXNdLnhtbFBLAQItABQABgAIAAAAIQA4/SH/1gAAAJQBAAALAAAAAAAAAAAAAAAAAC8BAABfcmVs&#10;cy8ucmVsc1BLAQItABQABgAIAAAAIQDGaW0AYAIAANcFAAAOAAAAAAAAAAAAAAAAAC4CAABkcnMv&#10;ZTJvRG9jLnhtbFBLAQItABQABgAIAAAAIQCv/fRa4gAAAA4BAAAPAAAAAAAAAAAAAAAAALoEAABk&#10;cnMvZG93bnJldi54bWxQSwUGAAAAAAQABADzAAAAyQUAAAAA&#10;">
              <v:shape id="Shape 5616" o:spid="_x0000_s1027" style="position:absolute;width:57569;height:63;visibility:visible;mso-wrap-style:square;v-text-anchor:top" coordsize="575691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uf+MYA&#10;AADdAAAADwAAAGRycy9kb3ducmV2LnhtbESPT2vCQBTE74V+h+UJvdWNQmNIXUVCRcFL/Uevj+zr&#10;JjT7NmS3JvbTdwXB4zAzv2Hmy8E24kKdrx0rmIwTEMSl0zUbBafj+jUD4QOyxsYxKbiSh+Xi+WmO&#10;uXY97+lyCEZECPscFVQhtLmUvqzIoh+7ljh6366zGKLsjNQd9hFuGzlNklRarDkuVNhSUVH5c/i1&#10;CtKvjdn9FdtNcd1pOctMf84+PpV6GQ2rdxCBhvAI39tbreAtnaRwexOf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uf+MYAAADdAAAADwAAAAAAAAAAAAAAAACYAgAAZHJz&#10;L2Rvd25yZXYueG1sUEsFBgAAAAAEAAQA9QAAAIsDAAAAAA==&#10;" path="m,l5756910,6350e" filled="f" strokecolor="#339" strokeweight="2pt">
                <v:path arrowok="t" textboxrect="0,0,5756910,635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</w:p>
  <w:p w:rsidR="001B671E" w:rsidRDefault="00965C76">
    <w:pPr>
      <w:spacing w:after="0" w:line="238" w:lineRule="auto"/>
      <w:ind w:left="14" w:firstLine="298"/>
    </w:pPr>
    <w:r>
      <w:rPr>
        <w:rFonts w:ascii="Verdana" w:eastAsia="Verdana" w:hAnsi="Verdana" w:cs="Verdana"/>
        <w:color w:val="333399"/>
        <w:sz w:val="15"/>
      </w:rPr>
      <w:t xml:space="preserve">Sveučilište u Splitu • Poljička cesta 35, 21000 Split • Tel.: (385) 21 558-200 • Fax: (385) 21 348-163 e-mail: rektorat.office@unist.hr • </w:t>
    </w:r>
    <w:r>
      <w:rPr>
        <w:rFonts w:ascii="Verdana" w:eastAsia="Verdana" w:hAnsi="Verdana" w:cs="Verdana"/>
        <w:color w:val="333399"/>
        <w:sz w:val="15"/>
        <w:u w:val="single" w:color="333399"/>
      </w:rPr>
      <w:t>www.unist.hr</w:t>
    </w:r>
    <w:r>
      <w:rPr>
        <w:rFonts w:ascii="Verdana" w:eastAsia="Verdana" w:hAnsi="Verdana" w:cs="Verdana"/>
        <w:color w:val="333399"/>
        <w:sz w:val="15"/>
      </w:rPr>
      <w:t xml:space="preserve"> • MB 03129306 • OIB 29845096215 • IBAN HR0524070001100578938 </w:t>
    </w:r>
  </w:p>
  <w:p w:rsidR="001B671E" w:rsidRDefault="00965C76">
    <w:pPr>
      <w:spacing w:after="195" w:line="259" w:lineRule="auto"/>
      <w:ind w:left="0" w:right="10" w:firstLine="0"/>
      <w:jc w:val="center"/>
    </w:pPr>
    <w:r>
      <w:rPr>
        <w:rFonts w:ascii="Verdana" w:eastAsia="Verdana" w:hAnsi="Verdana" w:cs="Verdana"/>
        <w:color w:val="333399"/>
        <w:sz w:val="15"/>
      </w:rPr>
      <w:t xml:space="preserve"> </w:t>
    </w:r>
  </w:p>
  <w:p w:rsidR="001B671E" w:rsidRDefault="00965C76">
    <w:pPr>
      <w:spacing w:after="139" w:line="259" w:lineRule="auto"/>
      <w:ind w:left="0" w:right="7" w:firstLine="0"/>
      <w:jc w:val="center"/>
    </w:pPr>
    <w:r>
      <w:rPr>
        <w:rFonts w:ascii="Verdana" w:eastAsia="Verdana" w:hAnsi="Verdana" w:cs="Verdana"/>
        <w:color w:val="333399"/>
        <w:sz w:val="16"/>
      </w:rPr>
      <w:t xml:space="preserve"> </w:t>
    </w:r>
  </w:p>
  <w:p w:rsidR="001B671E" w:rsidRDefault="00965C76">
    <w:pPr>
      <w:spacing w:after="12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1B671E" w:rsidRDefault="00965C76">
    <w:pPr>
      <w:spacing w:after="0" w:line="259" w:lineRule="auto"/>
      <w:ind w:left="0" w:firstLine="0"/>
      <w:jc w:val="left"/>
    </w:pPr>
    <w:r>
      <w:rPr>
        <w:rFonts w:ascii="Verdana" w:eastAsia="Verdana" w:hAnsi="Verdana" w:cs="Verdana"/>
        <w:color w:val="333399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71E" w:rsidRDefault="00965C76">
    <w:pPr>
      <w:spacing w:after="79" w:line="259" w:lineRule="auto"/>
      <w:ind w:left="0" w:right="11" w:firstLine="0"/>
      <w:jc w:val="right"/>
    </w:pPr>
    <w:r>
      <w:rPr>
        <w:rFonts w:ascii="Calibri" w:eastAsia="Calibri" w:hAnsi="Calibri" w:cs="Calibri"/>
      </w:rPr>
      <w:t xml:space="preserve"> </w:t>
    </w:r>
  </w:p>
  <w:p w:rsidR="001B671E" w:rsidRDefault="001B671E">
    <w:pPr>
      <w:spacing w:after="139" w:line="259" w:lineRule="auto"/>
      <w:ind w:left="0" w:right="7" w:firstLine="0"/>
      <w:jc w:val="center"/>
    </w:pPr>
  </w:p>
  <w:p w:rsidR="001B671E" w:rsidRDefault="00965C76">
    <w:pPr>
      <w:spacing w:after="12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1B671E" w:rsidRDefault="00965C76">
    <w:pPr>
      <w:spacing w:after="0" w:line="259" w:lineRule="auto"/>
      <w:ind w:left="0" w:firstLine="0"/>
      <w:jc w:val="left"/>
    </w:pPr>
    <w:r>
      <w:rPr>
        <w:rFonts w:ascii="Verdana" w:eastAsia="Verdana" w:hAnsi="Verdana" w:cs="Verdana"/>
        <w:color w:val="333399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71E" w:rsidRDefault="001B671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0D7" w:rsidRDefault="008010D7">
      <w:pPr>
        <w:spacing w:after="0" w:line="240" w:lineRule="auto"/>
      </w:pPr>
      <w:r>
        <w:separator/>
      </w:r>
    </w:p>
  </w:footnote>
  <w:footnote w:type="continuationSeparator" w:id="0">
    <w:p w:rsidR="008010D7" w:rsidRDefault="008010D7">
      <w:pPr>
        <w:spacing w:after="0" w:line="240" w:lineRule="auto"/>
      </w:pPr>
      <w:r>
        <w:continuationSeparator/>
      </w:r>
    </w:p>
  </w:footnote>
  <w:footnote w:id="1">
    <w:p w:rsidR="00BB2E53" w:rsidRPr="00BB2E53" w:rsidRDefault="00BB2E53" w:rsidP="00BB2E53">
      <w:pPr>
        <w:pStyle w:val="Tekstfusnote"/>
        <w:rPr>
          <w:rFonts w:ascii="Times New Roman" w:hAnsi="Times New Roman" w:cs="Times New Roman"/>
        </w:rPr>
      </w:pPr>
      <w:r w:rsidRPr="00BB2E53">
        <w:rPr>
          <w:rStyle w:val="Referencafusnote"/>
          <w:rFonts w:ascii="Times New Roman" w:hAnsi="Times New Roman" w:cs="Times New Roman"/>
        </w:rPr>
        <w:footnoteRef/>
      </w:r>
      <w:r w:rsidRPr="00BB2E53">
        <w:rPr>
          <w:rFonts w:ascii="Times New Roman" w:hAnsi="Times New Roman" w:cs="Times New Roman"/>
        </w:rPr>
        <w:t xml:space="preserve">  U programu </w:t>
      </w:r>
      <w:proofErr w:type="spellStart"/>
      <w:r w:rsidRPr="00BB2E53">
        <w:rPr>
          <w:rFonts w:ascii="Times New Roman" w:hAnsi="Times New Roman" w:cs="Times New Roman"/>
        </w:rPr>
        <w:t>Erasmus</w:t>
      </w:r>
      <w:proofErr w:type="spellEnd"/>
      <w:r w:rsidRPr="00BB2E53">
        <w:rPr>
          <w:rFonts w:ascii="Times New Roman" w:hAnsi="Times New Roman" w:cs="Times New Roman"/>
        </w:rPr>
        <w:t>+ konferencije više nisu prihvatljiva aktivnost. Za prihvatljivost aktivnosti, nije</w:t>
      </w:r>
    </w:p>
    <w:p w:rsidR="00BB2E53" w:rsidRPr="00BB2E53" w:rsidRDefault="00BB2E53" w:rsidP="00BB2E53">
      <w:pPr>
        <w:pStyle w:val="Tekstfusnote"/>
        <w:rPr>
          <w:rFonts w:ascii="Times New Roman" w:hAnsi="Times New Roman" w:cs="Times New Roman"/>
        </w:rPr>
      </w:pPr>
      <w:r w:rsidRPr="00BB2E53">
        <w:rPr>
          <w:rFonts w:ascii="Times New Roman" w:hAnsi="Times New Roman" w:cs="Times New Roman"/>
        </w:rPr>
        <w:t>bitna uloga osobe (govornik ili ne), već cilj samog događaja. Cilj je učenje novih i inovativnih metoda</w:t>
      </w:r>
    </w:p>
    <w:p w:rsidR="00BB2E53" w:rsidRPr="00BB2E53" w:rsidRDefault="00BB2E53" w:rsidP="00BB2E53">
      <w:pPr>
        <w:pStyle w:val="Tekstfusnote"/>
        <w:rPr>
          <w:rFonts w:ascii="Times New Roman" w:hAnsi="Times New Roman" w:cs="Times New Roman"/>
        </w:rPr>
      </w:pPr>
      <w:r w:rsidRPr="00BB2E53">
        <w:rPr>
          <w:rFonts w:ascii="Times New Roman" w:hAnsi="Times New Roman" w:cs="Times New Roman"/>
        </w:rPr>
        <w:t>učenja i podučavanja, stoga konferencija ili bilo koji drugi oblici aktivnosti usmjereni na specifično</w:t>
      </w:r>
    </w:p>
    <w:p w:rsidR="00BB2E53" w:rsidRDefault="00BB2E53" w:rsidP="00BB2E53">
      <w:pPr>
        <w:pStyle w:val="Tekstfusnote"/>
      </w:pPr>
      <w:r w:rsidRPr="00BB2E53">
        <w:rPr>
          <w:rFonts w:ascii="Times New Roman" w:hAnsi="Times New Roman" w:cs="Times New Roman"/>
        </w:rPr>
        <w:t>područje nisu prihvatljivi.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7"/>
      <w:gridCol w:w="2338"/>
      <w:gridCol w:w="2787"/>
      <w:gridCol w:w="2140"/>
    </w:tblGrid>
    <w:tr w:rsidR="00B11BE3" w:rsidRPr="00843658" w:rsidTr="002B273F">
      <w:trPr>
        <w:trHeight w:val="1655"/>
        <w:jc w:val="center"/>
      </w:trPr>
      <w:tc>
        <w:tcPr>
          <w:tcW w:w="1716" w:type="dxa"/>
          <w:shd w:val="clear" w:color="auto" w:fill="auto"/>
        </w:tcPr>
        <w:p w:rsidR="00B11BE3" w:rsidRPr="00843658" w:rsidRDefault="00B11BE3" w:rsidP="00B11BE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bidi="en-US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bidi="en-US"/>
            </w:rPr>
            <w:drawing>
              <wp:inline distT="0" distB="0" distL="0" distR="0" wp14:anchorId="4F398F95" wp14:editId="6E4626BC">
                <wp:extent cx="1047346" cy="1057275"/>
                <wp:effectExtent l="0" t="0" r="635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959" cy="108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5" w:type="dxa"/>
          <w:shd w:val="clear" w:color="auto" w:fill="auto"/>
        </w:tcPr>
        <w:p w:rsidR="00B11BE3" w:rsidRPr="00843658" w:rsidRDefault="00B11BE3" w:rsidP="00B11BE3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B11BE3" w:rsidRPr="00843658" w:rsidRDefault="00B11BE3" w:rsidP="00B11BE3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VISOKA ŠKOLA ARCA</w:t>
          </w:r>
        </w:p>
        <w:p w:rsidR="00B11BE3" w:rsidRPr="00843658" w:rsidRDefault="00B11BE3" w:rsidP="00B11BE3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proofErr w:type="spellStart"/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Kopilica</w:t>
          </w:r>
          <w:proofErr w:type="spellEnd"/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 xml:space="preserve"> 5</w:t>
          </w:r>
        </w:p>
        <w:p w:rsidR="00B11BE3" w:rsidRPr="00843658" w:rsidRDefault="00B11BE3" w:rsidP="00B11BE3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21000, Split</w:t>
          </w:r>
        </w:p>
        <w:p w:rsidR="00B11BE3" w:rsidRPr="00843658" w:rsidRDefault="00B11BE3" w:rsidP="00B11BE3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6"/>
              <w:szCs w:val="16"/>
              <w:lang w:bidi="en-US"/>
            </w:rPr>
          </w:pPr>
        </w:p>
      </w:tc>
      <w:tc>
        <w:tcPr>
          <w:tcW w:w="2813" w:type="dxa"/>
          <w:shd w:val="clear" w:color="auto" w:fill="auto"/>
        </w:tcPr>
        <w:p w:rsidR="00B11BE3" w:rsidRPr="00843658" w:rsidRDefault="00B11BE3" w:rsidP="00B11BE3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B11BE3" w:rsidRPr="00843658" w:rsidRDefault="00B11BE3" w:rsidP="00B11BE3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Tel: +385 21 645 375</w:t>
          </w:r>
        </w:p>
        <w:p w:rsidR="00B11BE3" w:rsidRPr="00843658" w:rsidRDefault="00B11BE3" w:rsidP="00B11BE3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Web: www.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visokaskolaarca.hr</w:t>
          </w:r>
        </w:p>
        <w:p w:rsidR="00B11BE3" w:rsidRPr="00843658" w:rsidRDefault="00B11BE3" w:rsidP="00B11BE3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E-mail: dekan@v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isokaskolaarca.hr</w:t>
          </w:r>
        </w:p>
        <w:p w:rsidR="00B11BE3" w:rsidRPr="00843658" w:rsidRDefault="00B11BE3" w:rsidP="00B11BE3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OIB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:</w:t>
          </w: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 06755374111</w:t>
          </w:r>
        </w:p>
        <w:p w:rsidR="00B11BE3" w:rsidRPr="00843658" w:rsidRDefault="00B11BE3" w:rsidP="00B11BE3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MB: 2785722</w:t>
          </w:r>
        </w:p>
      </w:tc>
      <w:tc>
        <w:tcPr>
          <w:tcW w:w="2148" w:type="dxa"/>
        </w:tcPr>
        <w:p w:rsidR="00B11BE3" w:rsidRPr="00843658" w:rsidRDefault="00B11BE3" w:rsidP="00B11BE3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noProof/>
              <w:sz w:val="18"/>
              <w:szCs w:val="18"/>
            </w:rPr>
            <w:drawing>
              <wp:inline distT="0" distB="0" distL="0" distR="0" wp14:anchorId="1448F1CF" wp14:editId="4D716140">
                <wp:extent cx="1076325" cy="1028700"/>
                <wp:effectExtent l="19050" t="0" r="9525" b="0"/>
                <wp:docPr id="2" name="Slika 2" descr="ISO_9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O_9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1948" w:rsidRDefault="00B0194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3666C"/>
    <w:multiLevelType w:val="hybridMultilevel"/>
    <w:tmpl w:val="08A4E43E"/>
    <w:lvl w:ilvl="0" w:tplc="B114C6BE">
      <w:start w:val="2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AEDC9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A49EC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B811A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1ED2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E2EA0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C4257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04AD2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6E783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873859"/>
    <w:multiLevelType w:val="hybridMultilevel"/>
    <w:tmpl w:val="F86628F6"/>
    <w:lvl w:ilvl="0" w:tplc="B712A624">
      <w:start w:val="9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5A3302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60081E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1A100C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A2A91C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02A7D4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D0DA64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92A3CA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ECFE3A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655CDD"/>
    <w:multiLevelType w:val="hybridMultilevel"/>
    <w:tmpl w:val="9B9C2F28"/>
    <w:lvl w:ilvl="0" w:tplc="964EB67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207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2417D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82E14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E6393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22D44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2887F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226A4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7E450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2A69F9"/>
    <w:multiLevelType w:val="hybridMultilevel"/>
    <w:tmpl w:val="CD12A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71E"/>
    <w:rsid w:val="00055D4E"/>
    <w:rsid w:val="000E6E01"/>
    <w:rsid w:val="001026D3"/>
    <w:rsid w:val="001B671E"/>
    <w:rsid w:val="001F1E32"/>
    <w:rsid w:val="00210150"/>
    <w:rsid w:val="003400DB"/>
    <w:rsid w:val="003956DF"/>
    <w:rsid w:val="003D4241"/>
    <w:rsid w:val="003F043D"/>
    <w:rsid w:val="00415A8B"/>
    <w:rsid w:val="00434198"/>
    <w:rsid w:val="00530F7F"/>
    <w:rsid w:val="00542911"/>
    <w:rsid w:val="005875D8"/>
    <w:rsid w:val="005A1556"/>
    <w:rsid w:val="005A3989"/>
    <w:rsid w:val="00634B96"/>
    <w:rsid w:val="00694E8C"/>
    <w:rsid w:val="006F4164"/>
    <w:rsid w:val="007375D3"/>
    <w:rsid w:val="00781109"/>
    <w:rsid w:val="008010D7"/>
    <w:rsid w:val="008B1BDA"/>
    <w:rsid w:val="009036C7"/>
    <w:rsid w:val="00954F28"/>
    <w:rsid w:val="00965C76"/>
    <w:rsid w:val="009B19FD"/>
    <w:rsid w:val="00AD1C37"/>
    <w:rsid w:val="00B01948"/>
    <w:rsid w:val="00B11BE3"/>
    <w:rsid w:val="00B84872"/>
    <w:rsid w:val="00BB2E53"/>
    <w:rsid w:val="00BC17A8"/>
    <w:rsid w:val="00BD44E0"/>
    <w:rsid w:val="00BF6821"/>
    <w:rsid w:val="00C25209"/>
    <w:rsid w:val="00C726ED"/>
    <w:rsid w:val="00CE025E"/>
    <w:rsid w:val="00CF319F"/>
    <w:rsid w:val="00D03E6B"/>
    <w:rsid w:val="00D36E54"/>
    <w:rsid w:val="00DA054A"/>
    <w:rsid w:val="00DA2F29"/>
    <w:rsid w:val="00DC2BFE"/>
    <w:rsid w:val="00EA0EEC"/>
    <w:rsid w:val="00EA7209"/>
    <w:rsid w:val="00EB7D24"/>
    <w:rsid w:val="00F01C57"/>
    <w:rsid w:val="00F9363D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9FEE"/>
  <w15:docId w15:val="{7AEC1301-4E59-4827-B96E-D3FA24B8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00DB"/>
    <w:pPr>
      <w:spacing w:after="4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10" w:right="66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25" w:line="255" w:lineRule="auto"/>
      <w:ind w:left="10" w:hanging="10"/>
      <w:jc w:val="both"/>
      <w:outlineLvl w:val="1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32"/>
    </w:rPr>
  </w:style>
  <w:style w:type="character" w:customStyle="1" w:styleId="Naslov2Char">
    <w:name w:val="Naslov 2 Char"/>
    <w:link w:val="Naslov2"/>
    <w:rPr>
      <w:rFonts w:ascii="Arial" w:eastAsia="Arial" w:hAnsi="Arial" w:cs="Arial"/>
      <w:b/>
      <w:color w:val="000000"/>
      <w:sz w:val="22"/>
    </w:rPr>
  </w:style>
  <w:style w:type="paragraph" w:styleId="Zaglavlje">
    <w:name w:val="header"/>
    <w:basedOn w:val="Normal"/>
    <w:link w:val="ZaglavljeChar"/>
    <w:uiPriority w:val="99"/>
    <w:unhideWhenUsed/>
    <w:rsid w:val="00954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4F28"/>
    <w:rPr>
      <w:rFonts w:ascii="Arial" w:eastAsia="Arial" w:hAnsi="Arial" w:cs="Arial"/>
      <w:color w:val="000000"/>
    </w:rPr>
  </w:style>
  <w:style w:type="paragraph" w:styleId="Odlomakpopisa">
    <w:name w:val="List Paragraph"/>
    <w:basedOn w:val="Normal"/>
    <w:uiPriority w:val="34"/>
    <w:qFormat/>
    <w:rsid w:val="00954F28"/>
    <w:pPr>
      <w:ind w:left="720"/>
      <w:contextualSpacing/>
    </w:pPr>
  </w:style>
  <w:style w:type="table" w:customStyle="1" w:styleId="TableGrid">
    <w:name w:val="TableGrid"/>
    <w:rsid w:val="00BC17A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3956DF"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B2E5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B2E53"/>
    <w:rPr>
      <w:rFonts w:ascii="Arial" w:eastAsia="Arial" w:hAnsi="Arial" w:cs="Arial"/>
      <w:color w:val="000000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B2E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7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0FFD3-7060-4FC1-8276-14C4DAFC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1638</Words>
  <Characters>9342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Split,</vt:lpstr>
      <vt:lpstr>Split,</vt:lpstr>
    </vt:vector>
  </TitlesOfParts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Split,</dc:title>
  <dc:subject/>
  <dc:creator>Tomislav</dc:creator>
  <cp:keywords/>
  <cp:lastModifiedBy>Predator</cp:lastModifiedBy>
  <cp:revision>2</cp:revision>
  <dcterms:created xsi:type="dcterms:W3CDTF">2022-09-27T11:54:00Z</dcterms:created>
  <dcterms:modified xsi:type="dcterms:W3CDTF">2022-09-27T11:54:00Z</dcterms:modified>
</cp:coreProperties>
</file>