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948" w:rsidRDefault="00965C76" w:rsidP="00CF319F">
      <w:pPr>
        <w:tabs>
          <w:tab w:val="left" w:pos="825"/>
        </w:tabs>
        <w:spacing w:after="0" w:line="259" w:lineRule="auto"/>
        <w:ind w:left="-115" w:right="-89" w:firstLine="0"/>
        <w:jc w:val="right"/>
        <w:rPr>
          <w:rFonts w:ascii="Times New Roman" w:eastAsia="Verdana" w:hAnsi="Times New Roman" w:cs="Times New Roman"/>
          <w:b/>
          <w:color w:val="333399"/>
          <w:sz w:val="24"/>
          <w:szCs w:val="24"/>
        </w:rPr>
      </w:pPr>
      <w:r w:rsidRPr="00B01948">
        <w:rPr>
          <w:rFonts w:ascii="Times New Roman" w:eastAsia="Verdana" w:hAnsi="Times New Roman" w:cs="Times New Roman"/>
          <w:b/>
          <w:color w:val="333399"/>
          <w:sz w:val="24"/>
          <w:szCs w:val="24"/>
        </w:rPr>
        <w:t xml:space="preserve"> </w:t>
      </w:r>
      <w:r w:rsidR="00B01948">
        <w:rPr>
          <w:rFonts w:ascii="Times New Roman" w:eastAsia="Verdana" w:hAnsi="Times New Roman" w:cs="Times New Roman"/>
          <w:b/>
          <w:color w:val="333399"/>
          <w:sz w:val="24"/>
          <w:szCs w:val="24"/>
        </w:rPr>
        <w:tab/>
      </w:r>
      <w:r w:rsidR="00B01948">
        <w:rPr>
          <w:rFonts w:ascii="Times New Roman" w:eastAsia="Verdana" w:hAnsi="Times New Roman" w:cs="Times New Roman"/>
          <w:b/>
          <w:noProof/>
          <w:color w:val="333399"/>
          <w:sz w:val="24"/>
          <w:szCs w:val="24"/>
        </w:rPr>
        <w:drawing>
          <wp:inline distT="0" distB="0" distL="0" distR="0" wp14:anchorId="25158EED">
            <wp:extent cx="1901825" cy="542290"/>
            <wp:effectExtent l="0" t="0" r="3175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26ED" w:rsidRDefault="00C726ED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C726ED" w:rsidRDefault="00C726ED" w:rsidP="00434198">
      <w:pPr>
        <w:spacing w:line="255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</w:p>
    <w:p w:rsidR="00BB2E53" w:rsidRPr="00BB2E53" w:rsidRDefault="00BB2E53" w:rsidP="00BB2E53">
      <w:pPr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BB2E53">
        <w:rPr>
          <w:rFonts w:ascii="Times New Roman" w:hAnsi="Times New Roman" w:cs="Times New Roman"/>
          <w:b/>
          <w:sz w:val="24"/>
        </w:rPr>
        <w:t>Upute za Natječaj za mobilnost nastavnog i nenastavnog osoblja u okviru</w:t>
      </w:r>
    </w:p>
    <w:p w:rsidR="00BB2E53" w:rsidRDefault="00BB2E53" w:rsidP="00BB2E53">
      <w:pPr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BB2E53">
        <w:rPr>
          <w:rFonts w:ascii="Times New Roman" w:hAnsi="Times New Roman" w:cs="Times New Roman"/>
          <w:b/>
          <w:sz w:val="24"/>
        </w:rPr>
        <w:t xml:space="preserve">programa </w:t>
      </w:r>
      <w:proofErr w:type="spellStart"/>
      <w:r w:rsidRPr="00BB2E53">
        <w:rPr>
          <w:rFonts w:ascii="Times New Roman" w:hAnsi="Times New Roman" w:cs="Times New Roman"/>
          <w:b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b/>
          <w:sz w:val="24"/>
        </w:rPr>
        <w:t>+ u natječajnoj godini 2020.</w:t>
      </w:r>
    </w:p>
    <w:p w:rsidR="00BB2E53" w:rsidRPr="00BB2E53" w:rsidRDefault="00BB2E53" w:rsidP="00BB2E53">
      <w:pPr>
        <w:ind w:left="0" w:firstLine="0"/>
        <w:jc w:val="center"/>
        <w:rPr>
          <w:rFonts w:ascii="Times New Roman" w:hAnsi="Times New Roman" w:cs="Times New Roman"/>
          <w:b/>
          <w:sz w:val="24"/>
        </w:rPr>
      </w:pPr>
    </w:p>
    <w:p w:rsidR="00BB2E53" w:rsidRPr="00BD44E0" w:rsidRDefault="00BB2E53" w:rsidP="00BB2E53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BD44E0">
        <w:rPr>
          <w:rFonts w:ascii="Times New Roman" w:hAnsi="Times New Roman" w:cs="Times New Roman"/>
          <w:i/>
          <w:sz w:val="24"/>
          <w:u w:val="single"/>
        </w:rPr>
        <w:t>SVRHA MOBILNOSTI</w:t>
      </w:r>
      <w:r w:rsidRPr="00BD44E0">
        <w:rPr>
          <w:rStyle w:val="Referencafusnote"/>
          <w:rFonts w:ascii="Times New Roman" w:hAnsi="Times New Roman" w:cs="Times New Roman"/>
          <w:i/>
          <w:sz w:val="24"/>
          <w:u w:val="single"/>
        </w:rPr>
        <w:footnoteReference w:id="1"/>
      </w: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1. Podučavanje (nastavno osoblje)</w:t>
      </w: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2. Osposobljavanje (nastavno i nenastavno osoblje) može uključivati nekoliko vrsta</w:t>
      </w: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aktivnosti:</w:t>
      </w: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- pohađanje strukturiranog tečaja/radionice stručnog usavršavanja u organizaciji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inozemne visokoobrazovne ustanove; npr.: osiguranje kvalitete u visokom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 xml:space="preserve">obrazovanju, provedba programa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>+, poboljšanje organizacijskih i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komunikacijskih sposobnosti djelatnika i sve ostalo što pridonosi poboljšanju vještina,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znanja/kompetencija potrebnih za obavljanje poslova u okviru postojećeg radnog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mjesta</w:t>
      </w: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- rad prema modelu </w:t>
      </w:r>
      <w:proofErr w:type="spellStart"/>
      <w:r w:rsidRPr="00BB2E53">
        <w:rPr>
          <w:rFonts w:ascii="Times New Roman" w:hAnsi="Times New Roman" w:cs="Times New Roman"/>
          <w:sz w:val="24"/>
        </w:rPr>
        <w:t>job-shadowing</w:t>
      </w:r>
      <w:proofErr w:type="spellEnd"/>
      <w:r w:rsidRPr="00BB2E53">
        <w:rPr>
          <w:rFonts w:ascii="Times New Roman" w:hAnsi="Times New Roman" w:cs="Times New Roman"/>
          <w:sz w:val="24"/>
        </w:rPr>
        <w:t>, tj. praćenja rada kolega na inozemnoj ustanovi pri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obavljanju njihovih stručnih aktivnosti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- jezični trening usmjeren na profesionalne potrebe sudionika</w:t>
      </w: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Europska komisija stavlja naglasak na mobilnost nastavnog osoblja u svrhu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osposobljavanja koja će omogućiti razvoj pedagoških vještina i vještina stvaranja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 xml:space="preserve">kurikuluma. Stoga je u </w:t>
      </w:r>
      <w:proofErr w:type="spellStart"/>
      <w:r w:rsidRPr="00BB2E53">
        <w:rPr>
          <w:rFonts w:ascii="Times New Roman" w:hAnsi="Times New Roman" w:cs="Times New Roman"/>
          <w:sz w:val="24"/>
        </w:rPr>
        <w:t>Mobility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B2E53">
        <w:rPr>
          <w:rFonts w:ascii="Times New Roman" w:hAnsi="Times New Roman" w:cs="Times New Roman"/>
          <w:sz w:val="24"/>
        </w:rPr>
        <w:t>agreement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for Training dodano pitanje koje korisniku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omogućava detaljnije opisati kako će mobilnost utjecati na razvijanje ovih vještina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(primjenjivo samo za nastavno osoblje).</w:t>
      </w: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3. Podučavanje (za nenastavno osoblje iz inozemnih tvrtki)</w:t>
      </w: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Prijavu za ovu vrstu mobilnosti podnosi sastavnica koja želi ugostiti predavača, osim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osnovnih dokumenata, uz prijavu je potrebno priložiti i Pozivno pismo u kojem je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iskazan interes sastavnice i koje potpisuje osoba koja poziva inozemnog predavača.</w:t>
      </w:r>
    </w:p>
    <w:p w:rsidR="00BB2E53" w:rsidRP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Za ovu aktivnost minimalno trajanje je 1 dan, a minimalan broj sati predavanja nije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propisan.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1B671E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Prihvatljivi sudionici za ovu aktivnost: osoblje iz inozemnih tvrtki pozvano na aktivnost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podučavanja, iz bilo koje tvrtke/poduzeća koje djeluje u zemlji sudionici u programu,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 xml:space="preserve">javne ili privatne organizacije (koja nema Povelju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za visoko obrazovanje) koja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djeluje na tržištu rada ili u područjima obrazovanja, osposobljavanja i mladih uključujući</w:t>
      </w:r>
      <w:r>
        <w:rPr>
          <w:rFonts w:ascii="Times New Roman" w:hAnsi="Times New Roman" w:cs="Times New Roman"/>
          <w:sz w:val="24"/>
        </w:rPr>
        <w:t xml:space="preserve"> </w:t>
      </w:r>
      <w:r w:rsidRPr="00BB2E53">
        <w:rPr>
          <w:rFonts w:ascii="Times New Roman" w:hAnsi="Times New Roman" w:cs="Times New Roman"/>
          <w:sz w:val="24"/>
        </w:rPr>
        <w:t>zaposlene doktorande</w:t>
      </w:r>
      <w:r>
        <w:rPr>
          <w:rFonts w:ascii="Times New Roman" w:hAnsi="Times New Roman" w:cs="Times New Roman"/>
          <w:sz w:val="24"/>
        </w:rPr>
        <w:t>).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lastRenderedPageBreak/>
        <w:t xml:space="preserve">4. Kombinirana mobilnost podučavanje/osposobljavanje 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- u kombiniranoj mobilnosti podučavanje/osposobljavanje smanjuje se broj obveznih sati na 4 sata/tjedan, a popunjava se Ugovor o podučavanju (</w:t>
      </w:r>
      <w:proofErr w:type="spellStart"/>
      <w:r w:rsidRPr="00BB2E53">
        <w:rPr>
          <w:rFonts w:ascii="Times New Roman" w:hAnsi="Times New Roman" w:cs="Times New Roman"/>
          <w:sz w:val="24"/>
        </w:rPr>
        <w:t>Teaching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B2E53">
        <w:rPr>
          <w:rFonts w:ascii="Times New Roman" w:hAnsi="Times New Roman" w:cs="Times New Roman"/>
          <w:sz w:val="24"/>
        </w:rPr>
        <w:t>Agreement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) te mora postojati potpisan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+ među-institucijski sporazum - za nastavno osoblje koje prijavljuje mobilnost u svrhu osposobljavanja i za kombiniranu mobilnost podučavanje/osposobljavanje naglasak je na razvijanju pedagoških vještina i vještina stvaranja kurikuluma 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5. </w:t>
      </w:r>
      <w:proofErr w:type="spellStart"/>
      <w:r w:rsidRPr="00BB2E53">
        <w:rPr>
          <w:rFonts w:ascii="Times New Roman" w:hAnsi="Times New Roman" w:cs="Times New Roman"/>
          <w:sz w:val="24"/>
        </w:rPr>
        <w:t>Blended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mobilnost 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- riječ je o kombinaciji razdoblja fizičke mobilnosti s virtualnom mobilnošću Nastavno i nenastavno osoblje smije započeti svoju aktivnost virtualno na način na koji to organizira prihvatna ustanova/organizacija, no očekuje se da mobilnost nastave i fizički u trenutku kada to epidemiološka situacija dopusti. Sudionik dobiva financijsku potporu (individualnu potporu i Distance Band za put) samo ako je bilo fizičke mobilnosti u minimalnom trajanju. 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6. Virtualna mobilnost 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- podrazumijeva aktivnosti učenja, podučavanja i osposobljavanja koje se u potpunosti izvode u online okruženju</w:t>
      </w:r>
      <w:r>
        <w:rPr>
          <w:rFonts w:ascii="Times New Roman" w:hAnsi="Times New Roman" w:cs="Times New Roman"/>
          <w:sz w:val="24"/>
        </w:rPr>
        <w:t>.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Mobilnost u svrhu podučavanja je moguće ostvariti na visokoobrazovnim ustanovama s kojima </w:t>
      </w:r>
      <w:r w:rsidR="005875D8">
        <w:rPr>
          <w:rFonts w:ascii="Times New Roman" w:hAnsi="Times New Roman" w:cs="Times New Roman"/>
          <w:sz w:val="24"/>
        </w:rPr>
        <w:t xml:space="preserve">Visoka škola </w:t>
      </w:r>
      <w:bookmarkStart w:id="0" w:name="_GoBack"/>
      <w:bookmarkEnd w:id="0"/>
      <w:r w:rsidRPr="00BB2E53">
        <w:rPr>
          <w:rFonts w:ascii="Times New Roman" w:hAnsi="Times New Roman" w:cs="Times New Roman"/>
          <w:sz w:val="24"/>
        </w:rPr>
        <w:t xml:space="preserve">ima potpisan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+ bilateralni sporazum. Popis sporazuma nalazi se u Vezanim dokumentima Natječaja. 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Mobilnost u svrhu osposobljavanja moguće je ostvariti i na ustanovama s kojima </w:t>
      </w:r>
      <w:r>
        <w:rPr>
          <w:rFonts w:ascii="Times New Roman" w:hAnsi="Times New Roman" w:cs="Times New Roman"/>
          <w:sz w:val="24"/>
        </w:rPr>
        <w:t>Visoka škola</w:t>
      </w:r>
      <w:r w:rsidRPr="00BB2E53">
        <w:rPr>
          <w:rFonts w:ascii="Times New Roman" w:hAnsi="Times New Roman" w:cs="Times New Roman"/>
          <w:sz w:val="24"/>
        </w:rPr>
        <w:t xml:space="preserve"> u Splitu nema potpisani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+ sporazum, uz jedan od sljedećih uvjeta: 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• Prihvatna ustanova je nositeljica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povelje za visoko obrazovanje (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Charter for </w:t>
      </w:r>
      <w:proofErr w:type="spellStart"/>
      <w:r w:rsidRPr="00BB2E53">
        <w:rPr>
          <w:rFonts w:ascii="Times New Roman" w:hAnsi="Times New Roman" w:cs="Times New Roman"/>
          <w:sz w:val="24"/>
        </w:rPr>
        <w:t>Higher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B2E53">
        <w:rPr>
          <w:rFonts w:ascii="Times New Roman" w:hAnsi="Times New Roman" w:cs="Times New Roman"/>
          <w:sz w:val="24"/>
        </w:rPr>
        <w:t>Education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) </w:t>
      </w:r>
    </w:p>
    <w:p w:rsidR="00BD44E0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• U slučaju da se osposobljavanje planira na ustanovi koja nema status visokoobrazovne ustanove, tada se odnos između člana osoblja i ustanove definira individualnim planom rada. Za dolaznu mobilnost osoblja iz inozemne tvrtke/trgovačkih društava u svrhu podučavanja nije potrebno sklopiti </w:t>
      </w:r>
      <w:proofErr w:type="spellStart"/>
      <w:r w:rsidRPr="00BB2E53">
        <w:rPr>
          <w:rFonts w:ascii="Times New Roman" w:hAnsi="Times New Roman" w:cs="Times New Roman"/>
          <w:sz w:val="24"/>
        </w:rPr>
        <w:t>Erasmus</w:t>
      </w:r>
      <w:proofErr w:type="spellEnd"/>
      <w:r w:rsidRPr="00BB2E53">
        <w:rPr>
          <w:rFonts w:ascii="Times New Roman" w:hAnsi="Times New Roman" w:cs="Times New Roman"/>
          <w:sz w:val="24"/>
        </w:rPr>
        <w:t xml:space="preserve">+ sporazum. </w:t>
      </w:r>
    </w:p>
    <w:p w:rsidR="00BD44E0" w:rsidRDefault="00BD44E0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Pr="00BD44E0" w:rsidRDefault="00BB2E53" w:rsidP="00BB2E53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BD44E0">
        <w:rPr>
          <w:rFonts w:ascii="Times New Roman" w:hAnsi="Times New Roman" w:cs="Times New Roman"/>
          <w:i/>
          <w:sz w:val="24"/>
          <w:u w:val="single"/>
        </w:rPr>
        <w:t xml:space="preserve">TRAJANJE MOBILNOSTI </w:t>
      </w:r>
    </w:p>
    <w:p w:rsidR="00BD44E0" w:rsidRDefault="00BD44E0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Default="00BB2E53" w:rsidP="00BD44E0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U svrhu podučavanja najkraće trajanje mobilnosti je 2 dana, a najduže 60 dana, uz obvezu održavanja najmanje 8 sati nastave tjedno. </w:t>
      </w: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Default="00BB2E53" w:rsidP="00BD44E0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U svrhu osposobljavanja najkraće trajanje mobilnosti je 2 dana, a najduže 60 dana. </w:t>
      </w: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Default="00BB2E53" w:rsidP="00BD44E0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U svrhu kombinirane mobilnosti podučavanje/osposobljavanje najkraće trajanje mobilnosti je 2 dana, a najduže 60 dana, uz obvezu održavanja najmanje 4 sata nastave tjedno. </w:t>
      </w: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Default="00BB2E53" w:rsidP="00BD44E0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 xml:space="preserve">Za dolaznu mobilnost osoblja aktivnost inozemne tvrtke/trgovačkih društava u svrhu podučavanja minimalno trajanje je 1 dan, a minimalan broj sati predavanja nije propisan. </w:t>
      </w:r>
    </w:p>
    <w:p w:rsidR="00BB2E53" w:rsidRDefault="00BB2E53" w:rsidP="00BB2E53">
      <w:pPr>
        <w:ind w:left="0" w:firstLine="0"/>
        <w:rPr>
          <w:rFonts w:ascii="Times New Roman" w:hAnsi="Times New Roman" w:cs="Times New Roman"/>
          <w:sz w:val="24"/>
        </w:rPr>
      </w:pPr>
      <w:r w:rsidRPr="00BB2E53">
        <w:rPr>
          <w:rFonts w:ascii="Times New Roman" w:hAnsi="Times New Roman" w:cs="Times New Roman"/>
          <w:sz w:val="24"/>
        </w:rPr>
        <w:t>Mobilnost se mora održati u kontinuitetu.</w:t>
      </w:r>
    </w:p>
    <w:p w:rsidR="00BD44E0" w:rsidRDefault="00BD44E0" w:rsidP="00BB2E53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>Na trajanje mobilnosti u radnim danima može se zatražiti još najviše 2 dana namijenjena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>putovanju od i do destinacije mobilnosti.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>Zatraženi broj dana mobilnosti treba biti u skladu s opsegom aktivnosti planiranih tijekom</w:t>
      </w: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>mobilnosti.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BD44E0">
        <w:rPr>
          <w:rFonts w:ascii="Times New Roman" w:hAnsi="Times New Roman" w:cs="Times New Roman"/>
          <w:i/>
          <w:sz w:val="24"/>
          <w:u w:val="single"/>
        </w:rPr>
        <w:t>FINANCIJSKA POTPORA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proofErr w:type="spellStart"/>
      <w:r w:rsidRPr="00BD44E0">
        <w:rPr>
          <w:rFonts w:ascii="Times New Roman" w:hAnsi="Times New Roman" w:cs="Times New Roman"/>
          <w:sz w:val="24"/>
        </w:rPr>
        <w:t>Erasmus</w:t>
      </w:r>
      <w:proofErr w:type="spellEnd"/>
      <w:r w:rsidRPr="00BD44E0">
        <w:rPr>
          <w:rFonts w:ascii="Times New Roman" w:hAnsi="Times New Roman" w:cs="Times New Roman"/>
          <w:sz w:val="24"/>
        </w:rPr>
        <w:t>+ financijska potpora služi kao sufinanciranje mobilnosti.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 xml:space="preserve">Iznos financijske potpore – </w:t>
      </w:r>
      <w:proofErr w:type="spellStart"/>
      <w:r w:rsidRPr="00BD44E0">
        <w:rPr>
          <w:rFonts w:ascii="Times New Roman" w:hAnsi="Times New Roman" w:cs="Times New Roman"/>
          <w:sz w:val="24"/>
        </w:rPr>
        <w:t>granta</w:t>
      </w:r>
      <w:proofErr w:type="spellEnd"/>
      <w:r w:rsidRPr="00BD44E0">
        <w:rPr>
          <w:rFonts w:ascii="Times New Roman" w:hAnsi="Times New Roman" w:cs="Times New Roman"/>
          <w:sz w:val="24"/>
        </w:rPr>
        <w:t xml:space="preserve"> za svaku osobu čini 80% najvišeg iznosa dnevnice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određene od strane Europske komisije (za iznose vidjeti Tablicu za izračun financijske potpore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za (ne)nastavno osoblje u Vezanim dokumentima Natječaja).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>Sukladno Pravilniku o izmjenama i dopunama Pravilnika o porezu na dohodak, dnevnice ne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podliježu oporezivanju.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>Nastavno i nenastavno osoblje ima pravo na naknadu troškova putovanja iz Hrvatske do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odredišta mobilnosti u inozemstvu. Putni troškovi dodjeljuju se na temelju udaljenosti do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odredišta mobilnosti (vidjeti dokument Iznosi financijske potpore) u obliku paušalnog iznosa.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Udaljenost u kilometrima računa se pomoću kalkulatora objavljenog na stranicama Europske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komisije (http://ec.europa.eu/programmes/erasmus-plus/tools/distance_en.htm). Iznos za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troškove puta izračunava se na temelju kalkulatorom određene zračne udaljenosti između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polazišta i destinacije u jednom smjeru, a doprinos trošku se odnosi na dvosmjerno putovanje.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Osoblje je dužno čuvati putnu dokumentaciju za potrebe obračuna putnog naloga.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Putni nalog se otvara na sastavnici.</w:t>
      </w:r>
      <w:r>
        <w:rPr>
          <w:rFonts w:ascii="Times New Roman" w:hAnsi="Times New Roman" w:cs="Times New Roman"/>
          <w:sz w:val="24"/>
        </w:rPr>
        <w:t xml:space="preserve"> </w:t>
      </w: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>U putne troškove ne uračunavaju se troškovi nastali uslijed otkaza putovanja niti troškovi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putnog osiguranja.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>Broj dodijeljenih financijskih potpora-</w:t>
      </w:r>
      <w:proofErr w:type="spellStart"/>
      <w:r w:rsidRPr="00BD44E0">
        <w:rPr>
          <w:rFonts w:ascii="Times New Roman" w:hAnsi="Times New Roman" w:cs="Times New Roman"/>
          <w:sz w:val="24"/>
        </w:rPr>
        <w:t>granta</w:t>
      </w:r>
      <w:proofErr w:type="spellEnd"/>
      <w:r w:rsidRPr="00BD44E0">
        <w:rPr>
          <w:rFonts w:ascii="Times New Roman" w:hAnsi="Times New Roman" w:cs="Times New Roman"/>
          <w:sz w:val="24"/>
        </w:rPr>
        <w:t xml:space="preserve"> ovisi o broju prijavljenih kandidata, trajanju</w:t>
      </w: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>mobilnosti te o osiguranim financijskim sredstvima.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</w:p>
    <w:p w:rsidR="00BD44E0" w:rsidRDefault="00BD44E0" w:rsidP="00BD44E0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BD44E0">
        <w:rPr>
          <w:rFonts w:ascii="Times New Roman" w:hAnsi="Times New Roman" w:cs="Times New Roman"/>
          <w:i/>
          <w:sz w:val="24"/>
          <w:u w:val="single"/>
        </w:rPr>
        <w:t>ISPLATA FINANCIJSKE POTPORE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 xml:space="preserve">Osobe koje ostvare pravo na financijsku potporu za mobilnost sklopit će sa </w:t>
      </w:r>
      <w:r>
        <w:rPr>
          <w:rFonts w:ascii="Times New Roman" w:hAnsi="Times New Roman" w:cs="Times New Roman"/>
          <w:sz w:val="24"/>
        </w:rPr>
        <w:t xml:space="preserve">Visokom školom </w:t>
      </w:r>
      <w:r w:rsidRPr="00BD44E0">
        <w:rPr>
          <w:rFonts w:ascii="Times New Roman" w:hAnsi="Times New Roman" w:cs="Times New Roman"/>
          <w:sz w:val="24"/>
        </w:rPr>
        <w:t xml:space="preserve">Ugovor o dodjeli financijske potpore za </w:t>
      </w:r>
      <w:proofErr w:type="spellStart"/>
      <w:r w:rsidRPr="00BD44E0">
        <w:rPr>
          <w:rFonts w:ascii="Times New Roman" w:hAnsi="Times New Roman" w:cs="Times New Roman"/>
          <w:sz w:val="24"/>
        </w:rPr>
        <w:t>Erasmus</w:t>
      </w:r>
      <w:proofErr w:type="spellEnd"/>
      <w:r w:rsidRPr="00BD44E0">
        <w:rPr>
          <w:rFonts w:ascii="Times New Roman" w:hAnsi="Times New Roman" w:cs="Times New Roman"/>
          <w:sz w:val="24"/>
        </w:rPr>
        <w:t>+ mobilnost osoblja u svrhu</w:t>
      </w:r>
      <w:r w:rsidR="00F9363D"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 xml:space="preserve">podučavanja/Ugovor o dodjeli financijske potpore za </w:t>
      </w:r>
      <w:proofErr w:type="spellStart"/>
      <w:r w:rsidRPr="00BD44E0">
        <w:rPr>
          <w:rFonts w:ascii="Times New Roman" w:hAnsi="Times New Roman" w:cs="Times New Roman"/>
          <w:sz w:val="24"/>
        </w:rPr>
        <w:t>Erasmus</w:t>
      </w:r>
      <w:proofErr w:type="spellEnd"/>
      <w:r w:rsidRPr="00BD44E0">
        <w:rPr>
          <w:rFonts w:ascii="Times New Roman" w:hAnsi="Times New Roman" w:cs="Times New Roman"/>
          <w:sz w:val="24"/>
        </w:rPr>
        <w:t>+ mobilnost osoblja u svrhu</w:t>
      </w:r>
      <w:r w:rsidR="00F9363D"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osposobljavanja</w:t>
      </w:r>
      <w:r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 xml:space="preserve">kojim se reguliraju međusobna prava i obveze. </w:t>
      </w:r>
    </w:p>
    <w:p w:rsidR="00BD44E0" w:rsidRP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Visoka škola</w:t>
      </w:r>
      <w:r w:rsidRPr="00BD44E0">
        <w:rPr>
          <w:rFonts w:ascii="Times New Roman" w:hAnsi="Times New Roman" w:cs="Times New Roman"/>
          <w:sz w:val="24"/>
        </w:rPr>
        <w:t xml:space="preserve"> se obvezuje na žiro račun , uz nalog za prijenos sredstava, isplatiti</w:t>
      </w:r>
      <w:r w:rsidR="00F9363D"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financijsku</w:t>
      </w:r>
      <w:r w:rsidR="00F9363D"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potporu za Korisnika.</w:t>
      </w: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  <w:r w:rsidRPr="00BD44E0">
        <w:rPr>
          <w:rFonts w:ascii="Times New Roman" w:hAnsi="Times New Roman" w:cs="Times New Roman"/>
          <w:sz w:val="24"/>
        </w:rPr>
        <w:t xml:space="preserve">Odobreni iznos financijskih sredstava za Korisnika </w:t>
      </w:r>
      <w:r w:rsidR="00F9363D">
        <w:rPr>
          <w:rFonts w:ascii="Times New Roman" w:hAnsi="Times New Roman" w:cs="Times New Roman"/>
          <w:sz w:val="24"/>
        </w:rPr>
        <w:t>Visoka škola</w:t>
      </w:r>
      <w:r w:rsidRPr="00BD44E0">
        <w:rPr>
          <w:rFonts w:ascii="Times New Roman" w:hAnsi="Times New Roman" w:cs="Times New Roman"/>
          <w:sz w:val="24"/>
        </w:rPr>
        <w:t xml:space="preserve"> će doznačiti na žiro račun</w:t>
      </w:r>
      <w:r w:rsidR="00F9363D"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najkasnije 30 dana od potpisivanja Ugovora o dodjeli financijske potpore za</w:t>
      </w:r>
      <w:r w:rsidR="00F936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44E0">
        <w:rPr>
          <w:rFonts w:ascii="Times New Roman" w:hAnsi="Times New Roman" w:cs="Times New Roman"/>
          <w:sz w:val="24"/>
        </w:rPr>
        <w:t>Erasmus</w:t>
      </w:r>
      <w:proofErr w:type="spellEnd"/>
      <w:r w:rsidRPr="00BD44E0">
        <w:rPr>
          <w:rFonts w:ascii="Times New Roman" w:hAnsi="Times New Roman" w:cs="Times New Roman"/>
          <w:sz w:val="24"/>
        </w:rPr>
        <w:t>+ mobilnost osoblja u svrhu podučavanja / Ugovora o dodjeli financijske potpore za</w:t>
      </w:r>
      <w:r w:rsidR="00F9363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D44E0">
        <w:rPr>
          <w:rFonts w:ascii="Times New Roman" w:hAnsi="Times New Roman" w:cs="Times New Roman"/>
          <w:sz w:val="24"/>
        </w:rPr>
        <w:t>Erasmus</w:t>
      </w:r>
      <w:proofErr w:type="spellEnd"/>
      <w:r w:rsidRPr="00BD44E0">
        <w:rPr>
          <w:rFonts w:ascii="Times New Roman" w:hAnsi="Times New Roman" w:cs="Times New Roman"/>
          <w:sz w:val="24"/>
        </w:rPr>
        <w:t>+</w:t>
      </w:r>
      <w:r w:rsidR="00F9363D"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lastRenderedPageBreak/>
        <w:t>mobilnost osoblja u svrhu osposobljavanja, u kunskoj protuvrijednosti prema tečaju</w:t>
      </w:r>
      <w:r w:rsidR="00F9363D"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 xml:space="preserve">koji određuje </w:t>
      </w:r>
      <w:r w:rsidR="00F9363D">
        <w:rPr>
          <w:rFonts w:ascii="Times New Roman" w:hAnsi="Times New Roman" w:cs="Times New Roman"/>
          <w:sz w:val="24"/>
        </w:rPr>
        <w:t xml:space="preserve">Visoka škola </w:t>
      </w:r>
      <w:r w:rsidRPr="00BD44E0">
        <w:rPr>
          <w:rFonts w:ascii="Times New Roman" w:hAnsi="Times New Roman" w:cs="Times New Roman"/>
          <w:sz w:val="24"/>
        </w:rPr>
        <w:t>, a prema uputama Agencije za mobilnost i programe EU (u daljem</w:t>
      </w:r>
      <w:r w:rsidR="00F9363D">
        <w:rPr>
          <w:rFonts w:ascii="Times New Roman" w:hAnsi="Times New Roman" w:cs="Times New Roman"/>
          <w:sz w:val="24"/>
        </w:rPr>
        <w:t xml:space="preserve"> </w:t>
      </w:r>
      <w:r w:rsidRPr="00BD44E0">
        <w:rPr>
          <w:rFonts w:ascii="Times New Roman" w:hAnsi="Times New Roman" w:cs="Times New Roman"/>
          <w:sz w:val="24"/>
        </w:rPr>
        <w:t>tekstu AMPEU), sukladno važećim propisima Republike Hrvatske i pravilima AMPEU.</w:t>
      </w:r>
    </w:p>
    <w:p w:rsidR="00BD44E0" w:rsidRDefault="00BD44E0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Default="00F9363D" w:rsidP="00BD44E0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Financijska potpora isplatit će se Korisniku u obliku predujma po putnom nalogu, a konačan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iznos financijske potpore određuje/utvrđuje se nakon što sudionik ispuni EU upitnik u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 xml:space="preserve">internetskom alatu </w:t>
      </w:r>
      <w:proofErr w:type="spellStart"/>
      <w:r w:rsidRPr="00F9363D">
        <w:rPr>
          <w:rFonts w:ascii="Times New Roman" w:hAnsi="Times New Roman" w:cs="Times New Roman"/>
          <w:sz w:val="24"/>
        </w:rPr>
        <w:t>Mobility</w:t>
      </w:r>
      <w:proofErr w:type="spellEnd"/>
      <w:r w:rsidRPr="00F9363D">
        <w:rPr>
          <w:rFonts w:ascii="Times New Roman" w:hAnsi="Times New Roman" w:cs="Times New Roman"/>
          <w:sz w:val="24"/>
        </w:rPr>
        <w:t xml:space="preserve"> Tool i dostavi izvornik potvrde inozemne ustanove o sudjelovanju.</w:t>
      </w: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Visoka škola </w:t>
      </w:r>
      <w:r w:rsidRPr="00F9363D">
        <w:rPr>
          <w:rFonts w:ascii="Times New Roman" w:hAnsi="Times New Roman" w:cs="Times New Roman"/>
          <w:sz w:val="24"/>
        </w:rPr>
        <w:t>je dužno isplatiti samo ona sredstva koja mu je doznačila Nacionalna agencija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odnosno Europska komisija.</w:t>
      </w: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Default="00F9363D" w:rsidP="00F9363D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F9363D">
        <w:rPr>
          <w:rFonts w:ascii="Times New Roman" w:hAnsi="Times New Roman" w:cs="Times New Roman"/>
          <w:i/>
          <w:sz w:val="24"/>
          <w:u w:val="single"/>
        </w:rPr>
        <w:t>OSIGURANJE</w:t>
      </w: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Korisnik je dužan biti zdravstveno osiguran za vrijeme trajanja mobilnosti u inozemstvu.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Korisniku koji je zdravstveno osiguran u Republici Hrvatskoj, u područnom uredu HZZO-a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prema mjestu prebivališta može se na osobni zahtjev, besplatno, izdati Europska kartica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zdravstvenog osiguranja (u daljnjem tekstu EKZO). Korisnik za vrijeme trajanja mobilnosti u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bilo kojoj od država članica EU, Islandu, Lihtenštajnu i Norveškoj temeljem EKZO-a može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koristiti neodgodivu zdravstvenu zaštitu.</w:t>
      </w: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Osoblje koje mobilnost želi ostvariti u Turskoj ili Makedoniji dužno je sklopiti policu osiguranja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koja mora uključivati zdravstveno osiguranje u inozemstvu. Polica se može sklopiti s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osiguravajućim društvom prema vlastitom izboru u Republici Hrvatskoj ili u državi u kojoj će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se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ostvariti mobilnost.</w:t>
      </w: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Osnovno osiguranje obično osigurava nacionalno zdravstveno osiguranje sudionika i za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njegovog boravka u drugoj zemlji EU preko europske zdravstvene iskaznice. Međutim,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osiguranje koje pokriva europska zdravstvena iskaznica ili privatno osiguranje možda nije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dovoljno, posebno u slučaju repatrijacije i određene liječničke intervencije stoga je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 xml:space="preserve">preporuka </w:t>
      </w:r>
      <w:r>
        <w:rPr>
          <w:rFonts w:ascii="Times New Roman" w:hAnsi="Times New Roman" w:cs="Times New Roman"/>
          <w:sz w:val="24"/>
        </w:rPr>
        <w:t>Visoke škole</w:t>
      </w:r>
      <w:r w:rsidRPr="00F9363D">
        <w:rPr>
          <w:rFonts w:ascii="Times New Roman" w:hAnsi="Times New Roman" w:cs="Times New Roman"/>
          <w:sz w:val="24"/>
        </w:rPr>
        <w:t xml:space="preserve"> sklopiti dodatnu policu zdravstvenog osiguranja.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 xml:space="preserve">Ukoliko je na </w:t>
      </w:r>
      <w:r>
        <w:rPr>
          <w:rFonts w:ascii="Times New Roman" w:hAnsi="Times New Roman" w:cs="Times New Roman"/>
          <w:sz w:val="24"/>
        </w:rPr>
        <w:t>Visokoj školi</w:t>
      </w:r>
      <w:r w:rsidRPr="00F9363D">
        <w:rPr>
          <w:rFonts w:ascii="Times New Roman" w:hAnsi="Times New Roman" w:cs="Times New Roman"/>
          <w:sz w:val="24"/>
        </w:rPr>
        <w:t xml:space="preserve"> putno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osiguranje regulirano na drugačiji način, Korisnik je dužan isto</w:t>
      </w: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naglasiti prije upućivanja na mobilnost.</w:t>
      </w: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Default="00F9363D" w:rsidP="00F9363D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F9363D">
        <w:rPr>
          <w:rFonts w:ascii="Times New Roman" w:hAnsi="Times New Roman" w:cs="Times New Roman"/>
          <w:i/>
          <w:sz w:val="24"/>
          <w:u w:val="single"/>
        </w:rPr>
        <w:t>PROMJENA INSTITUCIJE</w:t>
      </w: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F9363D">
        <w:rPr>
          <w:rFonts w:ascii="Times New Roman" w:hAnsi="Times New Roman" w:cs="Times New Roman"/>
          <w:sz w:val="24"/>
        </w:rPr>
        <w:t>Naknadna promjena natječajem odobrene institucije nije moguća.</w:t>
      </w:r>
      <w:r w:rsidRPr="00F9363D">
        <w:rPr>
          <w:rFonts w:ascii="Times New Roman" w:hAnsi="Times New Roman" w:cs="Times New Roman"/>
          <w:sz w:val="24"/>
        </w:rPr>
        <w:cr/>
      </w: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i/>
          <w:sz w:val="24"/>
          <w:u w:val="single"/>
        </w:rPr>
        <w:t>OSOBLJE BEZ FINANCIJSKE POTPORE</w:t>
      </w: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Kandidat koji se prijavio na Natječaj, ali mu nije odobrena financijska potpora, može ostvariti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pravo na mobilnost o vlastitom trošku.</w:t>
      </w: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Na mobilnost bez financijske potpore primjenjuju se ista pravila kao i za mobilnost uz</w:t>
      </w: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financijsku potporu.</w:t>
      </w: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F9363D">
        <w:rPr>
          <w:rFonts w:ascii="Times New Roman" w:hAnsi="Times New Roman" w:cs="Times New Roman"/>
          <w:i/>
          <w:sz w:val="24"/>
          <w:u w:val="single"/>
        </w:rPr>
        <w:lastRenderedPageBreak/>
        <w:t>ZABRANA DVOSTRUKOG FINANCIRANJA</w:t>
      </w: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 xml:space="preserve">Korisnik ne može dobiti financijsku potporu u sklopu programa </w:t>
      </w:r>
      <w:proofErr w:type="spellStart"/>
      <w:r w:rsidRPr="00F9363D">
        <w:rPr>
          <w:rFonts w:ascii="Times New Roman" w:hAnsi="Times New Roman" w:cs="Times New Roman"/>
          <w:sz w:val="24"/>
        </w:rPr>
        <w:t>Erasmus</w:t>
      </w:r>
      <w:proofErr w:type="spellEnd"/>
      <w:r w:rsidRPr="00F9363D">
        <w:rPr>
          <w:rFonts w:ascii="Times New Roman" w:hAnsi="Times New Roman" w:cs="Times New Roman"/>
          <w:sz w:val="24"/>
        </w:rPr>
        <w:t>+ ukoliko je njegova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mobilnost dodatno financirana iz sredstava koja potječu iz Europske unije. Prijavom na</w:t>
      </w:r>
    </w:p>
    <w:p w:rsidR="00BD44E0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Natječaj, kandidati potpisuju izjavu o zabrani dvostrukog financiranja.</w:t>
      </w: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i/>
          <w:sz w:val="24"/>
          <w:u w:val="single"/>
        </w:rPr>
      </w:pPr>
      <w:r w:rsidRPr="00F9363D">
        <w:rPr>
          <w:rFonts w:ascii="Times New Roman" w:hAnsi="Times New Roman" w:cs="Times New Roman"/>
          <w:i/>
          <w:sz w:val="24"/>
          <w:u w:val="single"/>
        </w:rPr>
        <w:t>OSOBLJE S POSEBNIM POTREBAMA</w:t>
      </w:r>
    </w:p>
    <w:p w:rsidR="00F9363D" w:rsidRP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</w:p>
    <w:p w:rsidR="00F9363D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Osoba s posebnim potrebama je student ili član osoblja čije fizičke, mentalne ili zdravstvene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okolnosti zahtijevaju dodatnu financijsku potporu. Ukoliko osoba s posebnim potrebama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>zadovolji natječajne uvjete za odlazak na mobilnost, ima pravo zatražiti dodatnu financijsku</w:t>
      </w:r>
      <w:r>
        <w:rPr>
          <w:rFonts w:ascii="Times New Roman" w:hAnsi="Times New Roman" w:cs="Times New Roman"/>
          <w:sz w:val="24"/>
        </w:rPr>
        <w:t xml:space="preserve"> </w:t>
      </w:r>
      <w:r w:rsidRPr="00F9363D">
        <w:rPr>
          <w:rFonts w:ascii="Times New Roman" w:hAnsi="Times New Roman" w:cs="Times New Roman"/>
          <w:sz w:val="24"/>
        </w:rPr>
        <w:t xml:space="preserve">potporu. </w:t>
      </w:r>
      <w:r>
        <w:rPr>
          <w:rFonts w:ascii="Times New Roman" w:hAnsi="Times New Roman" w:cs="Times New Roman"/>
          <w:sz w:val="24"/>
        </w:rPr>
        <w:t>Visoka škola</w:t>
      </w:r>
      <w:r w:rsidRPr="00F9363D">
        <w:rPr>
          <w:rFonts w:ascii="Times New Roman" w:hAnsi="Times New Roman" w:cs="Times New Roman"/>
          <w:sz w:val="24"/>
        </w:rPr>
        <w:t xml:space="preserve"> u tom slučaju, supotpisuje prijavu kandidata za dodatnu potporu i šalje</w:t>
      </w:r>
    </w:p>
    <w:p w:rsidR="00F9363D" w:rsidRPr="00BB2E53" w:rsidRDefault="00F9363D" w:rsidP="00F9363D">
      <w:pPr>
        <w:ind w:left="0" w:firstLine="0"/>
        <w:rPr>
          <w:rFonts w:ascii="Times New Roman" w:hAnsi="Times New Roman" w:cs="Times New Roman"/>
          <w:sz w:val="24"/>
        </w:rPr>
      </w:pPr>
      <w:r w:rsidRPr="00F9363D">
        <w:rPr>
          <w:rFonts w:ascii="Times New Roman" w:hAnsi="Times New Roman" w:cs="Times New Roman"/>
          <w:sz w:val="24"/>
        </w:rPr>
        <w:t>AMPEU-u. Rok za prijavu Agenciji za mobilnost i programe EU je 30.1.2020</w:t>
      </w:r>
    </w:p>
    <w:sectPr w:rsidR="00F9363D" w:rsidRPr="00BB2E53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4" w:right="1355" w:bottom="278" w:left="141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BDA" w:rsidRDefault="008B1BDA">
      <w:pPr>
        <w:spacing w:after="0" w:line="240" w:lineRule="auto"/>
      </w:pPr>
      <w:r>
        <w:separator/>
      </w:r>
    </w:p>
  </w:endnote>
  <w:endnote w:type="continuationSeparator" w:id="0">
    <w:p w:rsidR="008B1BDA" w:rsidRDefault="008B1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71E" w:rsidRDefault="00965C76">
    <w:pPr>
      <w:spacing w:after="79" w:line="259" w:lineRule="auto"/>
      <w:ind w:left="0" w:right="11" w:firstLine="0"/>
      <w:jc w:val="right"/>
    </w:pPr>
    <w:r>
      <w:rPr>
        <w:rFonts w:ascii="Calibri" w:eastAsia="Calibri" w:hAnsi="Calibri" w:cs="Calibri"/>
      </w:rPr>
      <w:t xml:space="preserve"> </w:t>
    </w:r>
  </w:p>
  <w:p w:rsidR="001B671E" w:rsidRDefault="00965C76">
    <w:pPr>
      <w:spacing w:after="0" w:line="259" w:lineRule="auto"/>
      <w:ind w:left="-4" w:right="11" w:firstLine="0"/>
      <w:jc w:val="right"/>
    </w:pPr>
    <w:r>
      <w:rPr>
        <w:rFonts w:ascii="Calibri" w:eastAsia="Calibri" w:hAnsi="Calibri" w:cs="Calibri"/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898525</wp:posOffset>
              </wp:positionH>
              <wp:positionV relativeFrom="page">
                <wp:posOffset>9335770</wp:posOffset>
              </wp:positionV>
              <wp:extent cx="5756910" cy="6350"/>
              <wp:effectExtent l="0" t="0" r="0" b="0"/>
              <wp:wrapSquare wrapText="bothSides"/>
              <wp:docPr id="5615" name="Group 56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6910" cy="6350"/>
                        <a:chOff x="0" y="0"/>
                        <a:chExt cx="5756910" cy="6350"/>
                      </a:xfrm>
                    </wpg:grpSpPr>
                    <wps:wsp>
                      <wps:cNvPr id="5616" name="Shape 5616"/>
                      <wps:cNvSpPr/>
                      <wps:spPr>
                        <a:xfrm>
                          <a:off x="0" y="0"/>
                          <a:ext cx="5756910" cy="63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6910" h="6350">
                              <a:moveTo>
                                <a:pt x="0" y="0"/>
                              </a:moveTo>
                              <a:lnTo>
                                <a:pt x="5756910" y="6350"/>
                              </a:lnTo>
                            </a:path>
                          </a:pathLst>
                        </a:custGeom>
                        <a:ln w="25400" cap="flat">
                          <a:round/>
                        </a:ln>
                      </wps:spPr>
                      <wps:style>
                        <a:lnRef idx="1">
                          <a:srgbClr val="33339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879A060" id="Group 5615" o:spid="_x0000_s1026" style="position:absolute;margin-left:70.75pt;margin-top:735.1pt;width:453.3pt;height:.5pt;z-index:251658240;mso-position-horizontal-relative:page;mso-position-vertical-relative:page" coordsize="5756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">
              <v:shape id="Shape 5616" o:spid="_x0000_s1027" style="position:absolute;width:57569;height:63;visibility:visible;mso-wrap-style:square;v-text-anchor:top" coordsize="575691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uf+MYA&#10;AADdAAAADwAAAGRycy9kb3ducmV2LnhtbESPT2vCQBTE74V+h+UJvdWNQmNIXUVCRcFL/Uevj+zr&#10;JjT7NmS3JvbTdwXB4zAzv2Hmy8E24kKdrx0rmIwTEMSl0zUbBafj+jUD4QOyxsYxKbiSh+Xi+WmO&#10;uXY97+lyCEZECPscFVQhtLmUvqzIoh+7ljh6366zGKLsjNQd9hFuGzlNklRarDkuVNhSUVH5c/i1&#10;CtKvjdn9FdtNcd1pOctMf84+PpV6GQ2rdxCBhvAI39tbreAtnaRwexOfgF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uf+MYAAADdAAAADwAAAAAAAAAAAAAAAACYAgAAZHJz&#10;L2Rvd25yZXYueG1sUEsFBgAAAAAEAAQA9QAAAIsDAAAAAA==&#10;" path="m,l5756910,6350e" filled="f" strokecolor="#339" strokeweight="2pt">
                <v:path arrowok="t" textboxrect="0,0,5756910,6350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</w:rPr>
      <w:t xml:space="preserve"> </w:t>
    </w:r>
  </w:p>
  <w:p w:rsidR="001B671E" w:rsidRDefault="00965C76">
    <w:pPr>
      <w:spacing w:after="0" w:line="238" w:lineRule="auto"/>
      <w:ind w:left="14" w:firstLine="298"/>
    </w:pPr>
    <w:r>
      <w:rPr>
        <w:rFonts w:ascii="Verdana" w:eastAsia="Verdana" w:hAnsi="Verdana" w:cs="Verdana"/>
        <w:color w:val="333399"/>
        <w:sz w:val="15"/>
      </w:rPr>
      <w:t xml:space="preserve">Sveučilište u Splitu • Poljička cesta 35, 21000 Split • Tel.: (385) 21 558-200 • Fax: (385) 21 348-163 e-mail: rektorat.office@unist.hr • </w:t>
    </w:r>
    <w:r>
      <w:rPr>
        <w:rFonts w:ascii="Verdana" w:eastAsia="Verdana" w:hAnsi="Verdana" w:cs="Verdana"/>
        <w:color w:val="333399"/>
        <w:sz w:val="15"/>
        <w:u w:val="single" w:color="333399"/>
      </w:rPr>
      <w:t>www.unist.hr</w:t>
    </w:r>
    <w:r>
      <w:rPr>
        <w:rFonts w:ascii="Verdana" w:eastAsia="Verdana" w:hAnsi="Verdana" w:cs="Verdana"/>
        <w:color w:val="333399"/>
        <w:sz w:val="15"/>
      </w:rPr>
      <w:t xml:space="preserve"> • MB 03129306 • OIB 29845096215 • IBAN HR0524070001100578938 </w:t>
    </w:r>
  </w:p>
  <w:p w:rsidR="001B671E" w:rsidRDefault="00965C76">
    <w:pPr>
      <w:spacing w:after="195" w:line="259" w:lineRule="auto"/>
      <w:ind w:left="0" w:right="10" w:firstLine="0"/>
      <w:jc w:val="center"/>
    </w:pPr>
    <w:r>
      <w:rPr>
        <w:rFonts w:ascii="Verdana" w:eastAsia="Verdana" w:hAnsi="Verdana" w:cs="Verdana"/>
        <w:color w:val="333399"/>
        <w:sz w:val="15"/>
      </w:rPr>
      <w:t xml:space="preserve"> </w:t>
    </w:r>
  </w:p>
  <w:p w:rsidR="001B671E" w:rsidRDefault="00965C76">
    <w:pPr>
      <w:spacing w:after="139" w:line="259" w:lineRule="auto"/>
      <w:ind w:left="0" w:right="7" w:firstLine="0"/>
      <w:jc w:val="center"/>
    </w:pPr>
    <w:r>
      <w:rPr>
        <w:rFonts w:ascii="Verdana" w:eastAsia="Verdana" w:hAnsi="Verdana" w:cs="Verdana"/>
        <w:color w:val="333399"/>
        <w:sz w:val="16"/>
      </w:rPr>
      <w:t xml:space="preserve"> </w:t>
    </w:r>
  </w:p>
  <w:p w:rsidR="001B671E" w:rsidRDefault="00965C76">
    <w:pPr>
      <w:spacing w:after="12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1B671E" w:rsidRDefault="00965C76">
    <w:pPr>
      <w:spacing w:after="0" w:line="259" w:lineRule="auto"/>
      <w:ind w:left="0" w:firstLine="0"/>
      <w:jc w:val="left"/>
    </w:pPr>
    <w:r>
      <w:rPr>
        <w:rFonts w:ascii="Verdana" w:eastAsia="Verdana" w:hAnsi="Verdana" w:cs="Verdana"/>
        <w:color w:val="333399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71E" w:rsidRDefault="00965C76">
    <w:pPr>
      <w:spacing w:after="79" w:line="259" w:lineRule="auto"/>
      <w:ind w:left="0" w:right="11" w:firstLine="0"/>
      <w:jc w:val="right"/>
    </w:pPr>
    <w:r>
      <w:rPr>
        <w:rFonts w:ascii="Calibri" w:eastAsia="Calibri" w:hAnsi="Calibri" w:cs="Calibri"/>
      </w:rPr>
      <w:t xml:space="preserve"> </w:t>
    </w:r>
  </w:p>
  <w:p w:rsidR="001B671E" w:rsidRDefault="001B671E">
    <w:pPr>
      <w:spacing w:after="139" w:line="259" w:lineRule="auto"/>
      <w:ind w:left="0" w:right="7" w:firstLine="0"/>
      <w:jc w:val="center"/>
    </w:pPr>
  </w:p>
  <w:p w:rsidR="001B671E" w:rsidRDefault="00965C76">
    <w:pPr>
      <w:spacing w:after="12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1B671E" w:rsidRDefault="00965C76">
    <w:pPr>
      <w:spacing w:after="0" w:line="259" w:lineRule="auto"/>
      <w:ind w:left="0" w:firstLine="0"/>
      <w:jc w:val="left"/>
    </w:pPr>
    <w:r>
      <w:rPr>
        <w:rFonts w:ascii="Verdana" w:eastAsia="Verdana" w:hAnsi="Verdana" w:cs="Verdana"/>
        <w:color w:val="333399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71E" w:rsidRDefault="001B671E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BDA" w:rsidRDefault="008B1BDA">
      <w:pPr>
        <w:spacing w:after="0" w:line="240" w:lineRule="auto"/>
      </w:pPr>
      <w:r>
        <w:separator/>
      </w:r>
    </w:p>
  </w:footnote>
  <w:footnote w:type="continuationSeparator" w:id="0">
    <w:p w:rsidR="008B1BDA" w:rsidRDefault="008B1BDA">
      <w:pPr>
        <w:spacing w:after="0" w:line="240" w:lineRule="auto"/>
      </w:pPr>
      <w:r>
        <w:continuationSeparator/>
      </w:r>
    </w:p>
  </w:footnote>
  <w:footnote w:id="1">
    <w:p w:rsidR="00BB2E53" w:rsidRPr="00BB2E53" w:rsidRDefault="00BB2E53" w:rsidP="00BB2E53">
      <w:pPr>
        <w:pStyle w:val="Tekstfusnote"/>
        <w:rPr>
          <w:rFonts w:ascii="Times New Roman" w:hAnsi="Times New Roman" w:cs="Times New Roman"/>
        </w:rPr>
      </w:pPr>
      <w:r w:rsidRPr="00BB2E53">
        <w:rPr>
          <w:rStyle w:val="Referencafusnote"/>
          <w:rFonts w:ascii="Times New Roman" w:hAnsi="Times New Roman" w:cs="Times New Roman"/>
        </w:rPr>
        <w:footnoteRef/>
      </w:r>
      <w:r w:rsidRPr="00BB2E53">
        <w:rPr>
          <w:rFonts w:ascii="Times New Roman" w:hAnsi="Times New Roman" w:cs="Times New Roman"/>
        </w:rPr>
        <w:t xml:space="preserve">  U programu </w:t>
      </w:r>
      <w:proofErr w:type="spellStart"/>
      <w:r w:rsidRPr="00BB2E53">
        <w:rPr>
          <w:rFonts w:ascii="Times New Roman" w:hAnsi="Times New Roman" w:cs="Times New Roman"/>
        </w:rPr>
        <w:t>Erasmus</w:t>
      </w:r>
      <w:proofErr w:type="spellEnd"/>
      <w:r w:rsidRPr="00BB2E53">
        <w:rPr>
          <w:rFonts w:ascii="Times New Roman" w:hAnsi="Times New Roman" w:cs="Times New Roman"/>
        </w:rPr>
        <w:t>+ konferencije više nisu prihvatljiva aktivnost. Za prihvatljivost aktivnosti, nije</w:t>
      </w:r>
    </w:p>
    <w:p w:rsidR="00BB2E53" w:rsidRPr="00BB2E53" w:rsidRDefault="00BB2E53" w:rsidP="00BB2E53">
      <w:pPr>
        <w:pStyle w:val="Tekstfusnote"/>
        <w:rPr>
          <w:rFonts w:ascii="Times New Roman" w:hAnsi="Times New Roman" w:cs="Times New Roman"/>
        </w:rPr>
      </w:pPr>
      <w:r w:rsidRPr="00BB2E53">
        <w:rPr>
          <w:rFonts w:ascii="Times New Roman" w:hAnsi="Times New Roman" w:cs="Times New Roman"/>
        </w:rPr>
        <w:t>bitna uloga osobe (govornik ili ne), već cilj samog događaja. Cilj je učenje novih i inovativnih metoda</w:t>
      </w:r>
    </w:p>
    <w:p w:rsidR="00BB2E53" w:rsidRPr="00BB2E53" w:rsidRDefault="00BB2E53" w:rsidP="00BB2E53">
      <w:pPr>
        <w:pStyle w:val="Tekstfusnote"/>
        <w:rPr>
          <w:rFonts w:ascii="Times New Roman" w:hAnsi="Times New Roman" w:cs="Times New Roman"/>
        </w:rPr>
      </w:pPr>
      <w:r w:rsidRPr="00BB2E53">
        <w:rPr>
          <w:rFonts w:ascii="Times New Roman" w:hAnsi="Times New Roman" w:cs="Times New Roman"/>
        </w:rPr>
        <w:t>učenja i podučavanja, stoga konferencija ili bilo koji drugi oblici aktivnosti usmjereni na specifično</w:t>
      </w:r>
    </w:p>
    <w:p w:rsidR="00BB2E53" w:rsidRDefault="00BB2E53" w:rsidP="00BB2E53">
      <w:pPr>
        <w:pStyle w:val="Tekstfusnote"/>
      </w:pPr>
      <w:r w:rsidRPr="00BB2E53">
        <w:rPr>
          <w:rFonts w:ascii="Times New Roman" w:hAnsi="Times New Roman" w:cs="Times New Roman"/>
        </w:rPr>
        <w:t>područje nisu prihvatljivi.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3"/>
      <w:gridCol w:w="3173"/>
      <w:gridCol w:w="2280"/>
      <w:gridCol w:w="2166"/>
    </w:tblGrid>
    <w:tr w:rsidR="00B01948" w:rsidRPr="00B01948" w:rsidTr="00D7589D">
      <w:trPr>
        <w:trHeight w:val="1655"/>
        <w:jc w:val="center"/>
      </w:trPr>
      <w:tc>
        <w:tcPr>
          <w:tcW w:w="1513" w:type="dxa"/>
          <w:shd w:val="clear" w:color="auto" w:fill="auto"/>
        </w:tcPr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b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b/>
              <w:noProof/>
              <w:color w:val="auto"/>
              <w:sz w:val="20"/>
              <w:lang w:val="en-GB" w:eastAsia="en-GB"/>
            </w:rPr>
            <w:drawing>
              <wp:inline distT="0" distB="0" distL="0" distR="0">
                <wp:extent cx="819150" cy="1028700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76" t="4543" r="4453" b="79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2" w:type="dxa"/>
          <w:shd w:val="clear" w:color="auto" w:fill="auto"/>
        </w:tcPr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VISOKA ŠKOLA ZA INSPEKCIJSKI I KADROVSKI MENADŽMENT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proofErr w:type="spellStart"/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Zrinsko</w:t>
          </w:r>
          <w:proofErr w:type="spellEnd"/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 xml:space="preserve"> </w:t>
          </w:r>
          <w:proofErr w:type="spellStart"/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Frankopanska</w:t>
          </w:r>
          <w:proofErr w:type="spellEnd"/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 xml:space="preserve"> 209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21000, Split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</w:p>
      </w:tc>
      <w:tc>
        <w:tcPr>
          <w:tcW w:w="2319" w:type="dxa"/>
          <w:shd w:val="clear" w:color="auto" w:fill="auto"/>
        </w:tcPr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Tel: +385 21 645 375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Web: www.vsikmp.hr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proofErr w:type="gramStart"/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E-mail :</w:t>
          </w:r>
          <w:proofErr w:type="gramEnd"/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 xml:space="preserve"> dekan@vsikmp.hr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OIB 06755374111</w:t>
          </w:r>
        </w:p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  <w:t>MB: 2785722</w:t>
          </w:r>
        </w:p>
      </w:tc>
      <w:tc>
        <w:tcPr>
          <w:tcW w:w="2182" w:type="dxa"/>
        </w:tcPr>
        <w:p w:rsidR="00B01948" w:rsidRPr="00B01948" w:rsidRDefault="00B01948" w:rsidP="00B01948">
          <w:pPr>
            <w:tabs>
              <w:tab w:val="center" w:pos="4513"/>
              <w:tab w:val="right" w:pos="9026"/>
            </w:tabs>
            <w:spacing w:after="0" w:line="240" w:lineRule="auto"/>
            <w:ind w:left="0" w:firstLine="0"/>
            <w:jc w:val="left"/>
            <w:rPr>
              <w:rFonts w:ascii="Times New Roman" w:eastAsia="Calibri" w:hAnsi="Times New Roman" w:cs="Times New Roman"/>
              <w:color w:val="auto"/>
              <w:sz w:val="20"/>
              <w:lang w:val="en-GB" w:eastAsia="en-US"/>
            </w:rPr>
          </w:pPr>
          <w:r w:rsidRPr="00B01948">
            <w:rPr>
              <w:rFonts w:ascii="Times New Roman" w:eastAsia="Calibri" w:hAnsi="Times New Roman" w:cs="Times New Roman"/>
              <w:noProof/>
              <w:color w:val="auto"/>
              <w:sz w:val="20"/>
              <w:lang w:val="en-GB" w:eastAsia="en-GB"/>
            </w:rPr>
            <w:drawing>
              <wp:inline distT="0" distB="0" distL="0" distR="0">
                <wp:extent cx="1076325" cy="1028700"/>
                <wp:effectExtent l="0" t="0" r="9525" b="0"/>
                <wp:docPr id="1" name="Slika 1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01948" w:rsidRDefault="00B0194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3666C"/>
    <w:multiLevelType w:val="hybridMultilevel"/>
    <w:tmpl w:val="08A4E43E"/>
    <w:lvl w:ilvl="0" w:tplc="B114C6BE">
      <w:start w:val="2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AEDC9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A49EC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BB811A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1ED2D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E2EA0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C4257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04AD2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6E783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873859"/>
    <w:multiLevelType w:val="hybridMultilevel"/>
    <w:tmpl w:val="F86628F6"/>
    <w:lvl w:ilvl="0" w:tplc="B712A624">
      <w:start w:val="9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35A3302">
      <w:start w:val="1"/>
      <w:numFmt w:val="lowerLetter"/>
      <w:lvlText w:val="%2"/>
      <w:lvlJc w:val="left"/>
      <w:pPr>
        <w:ind w:left="143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60081E">
      <w:start w:val="1"/>
      <w:numFmt w:val="lowerRoman"/>
      <w:lvlText w:val="%3"/>
      <w:lvlJc w:val="left"/>
      <w:pPr>
        <w:ind w:left="215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1A100C">
      <w:start w:val="1"/>
      <w:numFmt w:val="decimal"/>
      <w:lvlText w:val="%4"/>
      <w:lvlJc w:val="left"/>
      <w:pPr>
        <w:ind w:left="287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A2A91C">
      <w:start w:val="1"/>
      <w:numFmt w:val="lowerLetter"/>
      <w:lvlText w:val="%5"/>
      <w:lvlJc w:val="left"/>
      <w:pPr>
        <w:ind w:left="359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02A7D4">
      <w:start w:val="1"/>
      <w:numFmt w:val="lowerRoman"/>
      <w:lvlText w:val="%6"/>
      <w:lvlJc w:val="left"/>
      <w:pPr>
        <w:ind w:left="431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D0DA64">
      <w:start w:val="1"/>
      <w:numFmt w:val="decimal"/>
      <w:lvlText w:val="%7"/>
      <w:lvlJc w:val="left"/>
      <w:pPr>
        <w:ind w:left="503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92A3CA">
      <w:start w:val="1"/>
      <w:numFmt w:val="lowerLetter"/>
      <w:lvlText w:val="%8"/>
      <w:lvlJc w:val="left"/>
      <w:pPr>
        <w:ind w:left="575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ECFE3A">
      <w:start w:val="1"/>
      <w:numFmt w:val="lowerRoman"/>
      <w:lvlText w:val="%9"/>
      <w:lvlJc w:val="left"/>
      <w:pPr>
        <w:ind w:left="6478"/>
      </w:pPr>
      <w:rPr>
        <w:rFonts w:ascii="Arial" w:eastAsia="Arial" w:hAnsi="Arial" w:cs="Arial"/>
        <w:b/>
        <w:bCs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655CDD"/>
    <w:multiLevelType w:val="hybridMultilevel"/>
    <w:tmpl w:val="9B9C2F28"/>
    <w:lvl w:ilvl="0" w:tplc="964EB672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72074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2417D4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82E14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E6393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22D44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2887F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226A4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7E450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02A69F9"/>
    <w:multiLevelType w:val="hybridMultilevel"/>
    <w:tmpl w:val="CD12A6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71E"/>
    <w:rsid w:val="00055D4E"/>
    <w:rsid w:val="000E6E01"/>
    <w:rsid w:val="001026D3"/>
    <w:rsid w:val="001B671E"/>
    <w:rsid w:val="001F1E32"/>
    <w:rsid w:val="00210150"/>
    <w:rsid w:val="003400DB"/>
    <w:rsid w:val="003956DF"/>
    <w:rsid w:val="003D4241"/>
    <w:rsid w:val="003F043D"/>
    <w:rsid w:val="00415A8B"/>
    <w:rsid w:val="00434198"/>
    <w:rsid w:val="00530F7F"/>
    <w:rsid w:val="00542911"/>
    <w:rsid w:val="005875D8"/>
    <w:rsid w:val="005A1556"/>
    <w:rsid w:val="005A3989"/>
    <w:rsid w:val="00634B96"/>
    <w:rsid w:val="00694E8C"/>
    <w:rsid w:val="006F4164"/>
    <w:rsid w:val="007375D3"/>
    <w:rsid w:val="00781109"/>
    <w:rsid w:val="008B1BDA"/>
    <w:rsid w:val="009036C7"/>
    <w:rsid w:val="00954F28"/>
    <w:rsid w:val="00965C76"/>
    <w:rsid w:val="009B19FD"/>
    <w:rsid w:val="00AD1C37"/>
    <w:rsid w:val="00B01948"/>
    <w:rsid w:val="00B84872"/>
    <w:rsid w:val="00BB2E53"/>
    <w:rsid w:val="00BC17A8"/>
    <w:rsid w:val="00BD44E0"/>
    <w:rsid w:val="00BF6821"/>
    <w:rsid w:val="00C25209"/>
    <w:rsid w:val="00C726ED"/>
    <w:rsid w:val="00CE025E"/>
    <w:rsid w:val="00CF319F"/>
    <w:rsid w:val="00D03E6B"/>
    <w:rsid w:val="00D36E54"/>
    <w:rsid w:val="00DA054A"/>
    <w:rsid w:val="00DA2F29"/>
    <w:rsid w:val="00DC2BFE"/>
    <w:rsid w:val="00EA0EEC"/>
    <w:rsid w:val="00EA7209"/>
    <w:rsid w:val="00EB7D24"/>
    <w:rsid w:val="00F01C57"/>
    <w:rsid w:val="00F9363D"/>
    <w:rsid w:val="00FD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C7C7"/>
  <w15:docId w15:val="{7AEC1301-4E59-4827-B96E-D3FA24B89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00DB"/>
    <w:pPr>
      <w:spacing w:after="4" w:line="271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0"/>
      <w:ind w:left="10" w:right="66" w:hanging="10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Naslov2">
    <w:name w:val="heading 2"/>
    <w:next w:val="Normal"/>
    <w:link w:val="Naslov2Char"/>
    <w:uiPriority w:val="9"/>
    <w:unhideWhenUsed/>
    <w:qFormat/>
    <w:pPr>
      <w:keepNext/>
      <w:keepLines/>
      <w:spacing w:after="25" w:line="255" w:lineRule="auto"/>
      <w:ind w:left="10" w:hanging="10"/>
      <w:jc w:val="both"/>
      <w:outlineLvl w:val="1"/>
    </w:pPr>
    <w:rPr>
      <w:rFonts w:ascii="Arial" w:eastAsia="Arial" w:hAnsi="Arial" w:cs="Arial"/>
      <w:b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Arial" w:eastAsia="Arial" w:hAnsi="Arial" w:cs="Arial"/>
      <w:b/>
      <w:color w:val="000000"/>
      <w:sz w:val="32"/>
    </w:rPr>
  </w:style>
  <w:style w:type="character" w:customStyle="1" w:styleId="Naslov2Char">
    <w:name w:val="Naslov 2 Char"/>
    <w:link w:val="Naslov2"/>
    <w:rPr>
      <w:rFonts w:ascii="Arial" w:eastAsia="Arial" w:hAnsi="Arial" w:cs="Arial"/>
      <w:b/>
      <w:color w:val="000000"/>
      <w:sz w:val="22"/>
    </w:rPr>
  </w:style>
  <w:style w:type="paragraph" w:styleId="Zaglavlje">
    <w:name w:val="header"/>
    <w:basedOn w:val="Normal"/>
    <w:link w:val="ZaglavljeChar"/>
    <w:uiPriority w:val="99"/>
    <w:unhideWhenUsed/>
    <w:rsid w:val="00954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54F28"/>
    <w:rPr>
      <w:rFonts w:ascii="Arial" w:eastAsia="Arial" w:hAnsi="Arial" w:cs="Arial"/>
      <w:color w:val="000000"/>
    </w:rPr>
  </w:style>
  <w:style w:type="paragraph" w:styleId="Odlomakpopisa">
    <w:name w:val="List Paragraph"/>
    <w:basedOn w:val="Normal"/>
    <w:uiPriority w:val="34"/>
    <w:qFormat/>
    <w:rsid w:val="00954F28"/>
    <w:pPr>
      <w:ind w:left="720"/>
      <w:contextualSpacing/>
    </w:pPr>
  </w:style>
  <w:style w:type="table" w:customStyle="1" w:styleId="TableGrid">
    <w:name w:val="TableGrid"/>
    <w:rsid w:val="00BC17A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3956DF"/>
    <w:rPr>
      <w:color w:val="0563C1" w:themeColor="hyperlink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BB2E53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B2E53"/>
    <w:rPr>
      <w:rFonts w:ascii="Arial" w:eastAsia="Arial" w:hAnsi="Arial" w:cs="Arial"/>
      <w:color w:val="000000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BB2E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7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6670E-A368-4FDA-B4A5-A24AE5D33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1500</Words>
  <Characters>8556</Characters>
  <Application>Microsoft Office Word</Application>
  <DocSecurity>0</DocSecurity>
  <Lines>71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Split,</vt:lpstr>
      <vt:lpstr>Split,</vt:lpstr>
    </vt:vector>
  </TitlesOfParts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Split,</dc:title>
  <dc:subject/>
  <dc:creator>Tomislav</dc:creator>
  <cp:keywords/>
  <cp:lastModifiedBy>Predator</cp:lastModifiedBy>
  <cp:revision>3</cp:revision>
  <dcterms:created xsi:type="dcterms:W3CDTF">2021-02-02T12:13:00Z</dcterms:created>
  <dcterms:modified xsi:type="dcterms:W3CDTF">2021-02-11T12:04:00Z</dcterms:modified>
</cp:coreProperties>
</file>