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FB8" w:rsidRDefault="008A6FB8" w:rsidP="008A6FB8">
      <w:pPr>
        <w:tabs>
          <w:tab w:val="left" w:pos="825"/>
        </w:tabs>
        <w:spacing w:after="0" w:line="259" w:lineRule="auto"/>
        <w:ind w:left="-115" w:right="-89" w:firstLine="0"/>
        <w:jc w:val="right"/>
        <w:rPr>
          <w:rFonts w:ascii="Times New Roman" w:eastAsia="Verdana" w:hAnsi="Times New Roman" w:cs="Times New Roman"/>
          <w:b/>
          <w:color w:val="333399"/>
          <w:sz w:val="24"/>
          <w:szCs w:val="24"/>
        </w:rPr>
      </w:pPr>
      <w:r>
        <w:rPr>
          <w:rFonts w:ascii="Times New Roman" w:eastAsia="Verdana" w:hAnsi="Times New Roman" w:cs="Times New Roman"/>
          <w:b/>
          <w:color w:val="333399"/>
          <w:sz w:val="24"/>
          <w:szCs w:val="24"/>
        </w:rPr>
        <w:tab/>
      </w:r>
      <w:r>
        <w:rPr>
          <w:rFonts w:ascii="Times New Roman" w:eastAsia="Verdana" w:hAnsi="Times New Roman" w:cs="Times New Roman"/>
          <w:b/>
          <w:noProof/>
          <w:color w:val="333399"/>
          <w:sz w:val="24"/>
          <w:szCs w:val="24"/>
        </w:rPr>
        <w:drawing>
          <wp:inline distT="0" distB="0" distL="0" distR="0" wp14:anchorId="509F6E39" wp14:editId="0F545468">
            <wp:extent cx="1901825" cy="54229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6FB8" w:rsidRDefault="008A6FB8" w:rsidP="008A6FB8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</w:p>
    <w:p w:rsidR="008A6FB8" w:rsidRPr="00BB2E53" w:rsidRDefault="008A6FB8" w:rsidP="008A6FB8">
      <w:pPr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BB2E53">
        <w:rPr>
          <w:rFonts w:ascii="Times New Roman" w:hAnsi="Times New Roman" w:cs="Times New Roman"/>
          <w:b/>
          <w:sz w:val="24"/>
        </w:rPr>
        <w:t>Upute za Natječaj za mobilnost nastavnog i nenastavnog osoblja u okviru</w:t>
      </w:r>
    </w:p>
    <w:p w:rsidR="008A6FB8" w:rsidRDefault="008A6FB8" w:rsidP="008A6FB8">
      <w:pPr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BB2E53">
        <w:rPr>
          <w:rFonts w:ascii="Times New Roman" w:hAnsi="Times New Roman" w:cs="Times New Roman"/>
          <w:b/>
          <w:sz w:val="24"/>
        </w:rPr>
        <w:t xml:space="preserve">programa </w:t>
      </w:r>
      <w:proofErr w:type="spellStart"/>
      <w:r w:rsidRPr="00BB2E53">
        <w:rPr>
          <w:rFonts w:ascii="Times New Roman" w:hAnsi="Times New Roman" w:cs="Times New Roman"/>
          <w:b/>
          <w:sz w:val="24"/>
        </w:rPr>
        <w:t>Erasmus</w:t>
      </w:r>
      <w:proofErr w:type="spellEnd"/>
      <w:r w:rsidRPr="00BB2E53">
        <w:rPr>
          <w:rFonts w:ascii="Times New Roman" w:hAnsi="Times New Roman" w:cs="Times New Roman"/>
          <w:b/>
          <w:sz w:val="24"/>
        </w:rPr>
        <w:t>+ u natječajnoj godini 20</w:t>
      </w:r>
      <w:r>
        <w:rPr>
          <w:rFonts w:ascii="Times New Roman" w:hAnsi="Times New Roman" w:cs="Times New Roman"/>
          <w:b/>
          <w:sz w:val="24"/>
        </w:rPr>
        <w:t>22</w:t>
      </w:r>
      <w:r w:rsidRPr="00BB2E53">
        <w:rPr>
          <w:rFonts w:ascii="Times New Roman" w:hAnsi="Times New Roman" w:cs="Times New Roman"/>
          <w:b/>
          <w:sz w:val="24"/>
        </w:rPr>
        <w:t>.</w:t>
      </w:r>
    </w:p>
    <w:p w:rsidR="008A6FB8" w:rsidRPr="00BB2E53" w:rsidRDefault="008A6FB8" w:rsidP="008A6FB8">
      <w:pPr>
        <w:ind w:left="0" w:firstLine="0"/>
        <w:jc w:val="center"/>
        <w:rPr>
          <w:rFonts w:ascii="Times New Roman" w:hAnsi="Times New Roman" w:cs="Times New Roman"/>
          <w:b/>
          <w:sz w:val="24"/>
        </w:rPr>
      </w:pPr>
    </w:p>
    <w:p w:rsidR="008A6FB8" w:rsidRPr="00BD44E0" w:rsidRDefault="008A6FB8" w:rsidP="008A6FB8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  <w:r w:rsidRPr="00BD44E0">
        <w:rPr>
          <w:rFonts w:ascii="Times New Roman" w:hAnsi="Times New Roman" w:cs="Times New Roman"/>
          <w:i/>
          <w:sz w:val="24"/>
          <w:u w:val="single"/>
        </w:rPr>
        <w:t>SVRHA MOBILNOSTI</w:t>
      </w:r>
      <w:r w:rsidRPr="00BD44E0">
        <w:rPr>
          <w:rStyle w:val="Referencafusnote"/>
          <w:rFonts w:ascii="Times New Roman" w:hAnsi="Times New Roman" w:cs="Times New Roman"/>
          <w:i/>
          <w:sz w:val="24"/>
          <w:u w:val="single"/>
        </w:rPr>
        <w:footnoteReference w:id="1"/>
      </w:r>
    </w:p>
    <w:p w:rsidR="008A6FB8" w:rsidRPr="00BB2E53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1. Podučavanje (nastavno osoblje)</w:t>
      </w:r>
    </w:p>
    <w:p w:rsidR="008A6FB8" w:rsidRPr="00BB2E53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Pr="00BB2E53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2. Osposobljavanje (nastavno i nenastavno osoblje) može uključivati nekoliko vrsta</w:t>
      </w:r>
    </w:p>
    <w:p w:rsidR="008A6FB8" w:rsidRPr="00BB2E53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aktivnosti:</w:t>
      </w:r>
    </w:p>
    <w:p w:rsidR="008A6FB8" w:rsidRPr="00BB2E53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- pohađanje strukturiranog tečaja/radionice stručnog usavršavanja u organizaciji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inozemne visokoobrazovne ustanove; npr.: osiguranje kvalitete u visokom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 xml:space="preserve">obrazovanju, provedba programa </w:t>
      </w:r>
      <w:proofErr w:type="spellStart"/>
      <w:r w:rsidRPr="00BB2E53">
        <w:rPr>
          <w:rFonts w:ascii="Times New Roman" w:hAnsi="Times New Roman" w:cs="Times New Roman"/>
          <w:sz w:val="24"/>
        </w:rPr>
        <w:t>Erasmus</w:t>
      </w:r>
      <w:proofErr w:type="spellEnd"/>
      <w:r w:rsidRPr="00BB2E53">
        <w:rPr>
          <w:rFonts w:ascii="Times New Roman" w:hAnsi="Times New Roman" w:cs="Times New Roman"/>
          <w:sz w:val="24"/>
        </w:rPr>
        <w:t>+, poboljšanje organizacijskih i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komunikacijskih sposobnosti djelatnika i sve ostalo što pridonosi poboljšanju vještina,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znanja/kompetencija potrebnih za obavljanje poslova u okviru postojećeg radnog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mjesta</w:t>
      </w:r>
    </w:p>
    <w:p w:rsidR="008A6FB8" w:rsidRPr="00BB2E53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 xml:space="preserve">- rad prema modelu </w:t>
      </w:r>
      <w:proofErr w:type="spellStart"/>
      <w:r w:rsidRPr="00BB2E53">
        <w:rPr>
          <w:rFonts w:ascii="Times New Roman" w:hAnsi="Times New Roman" w:cs="Times New Roman"/>
          <w:sz w:val="24"/>
        </w:rPr>
        <w:t>job-shadowing</w:t>
      </w:r>
      <w:proofErr w:type="spellEnd"/>
      <w:r w:rsidRPr="00BB2E53">
        <w:rPr>
          <w:rFonts w:ascii="Times New Roman" w:hAnsi="Times New Roman" w:cs="Times New Roman"/>
          <w:sz w:val="24"/>
        </w:rPr>
        <w:t>, tj. praćenja rada kolega na inozemnoj ustanovi pri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obavljanju njihovih stručnih aktivnosti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- jezični trening usmjeren na profesionalne potrebe sudionika</w:t>
      </w:r>
    </w:p>
    <w:p w:rsidR="008A6FB8" w:rsidRPr="00BB2E53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Europska komisija stavlja naglasak na mobilnost nastavnog osoblja u svrhu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osposobljavanja koja će omogućiti razvoj pedagoških vještina i vještina stvaranja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 xml:space="preserve">kurikuluma. Stoga je u </w:t>
      </w:r>
      <w:proofErr w:type="spellStart"/>
      <w:r w:rsidRPr="00BB2E53">
        <w:rPr>
          <w:rFonts w:ascii="Times New Roman" w:hAnsi="Times New Roman" w:cs="Times New Roman"/>
          <w:sz w:val="24"/>
        </w:rPr>
        <w:t>Mobility</w:t>
      </w:r>
      <w:proofErr w:type="spellEnd"/>
      <w:r w:rsidRPr="00BB2E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B2E53">
        <w:rPr>
          <w:rFonts w:ascii="Times New Roman" w:hAnsi="Times New Roman" w:cs="Times New Roman"/>
          <w:sz w:val="24"/>
        </w:rPr>
        <w:t>agreement</w:t>
      </w:r>
      <w:proofErr w:type="spellEnd"/>
      <w:r w:rsidRPr="00BB2E53">
        <w:rPr>
          <w:rFonts w:ascii="Times New Roman" w:hAnsi="Times New Roman" w:cs="Times New Roman"/>
          <w:sz w:val="24"/>
        </w:rPr>
        <w:t xml:space="preserve"> for Training dodano pitanje koje korisniku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omogućava detaljnije opisati kako će mobilnost utjecati na razvijanje ovih vještina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(primjenjivo samo za nastavno osoblje).</w:t>
      </w:r>
    </w:p>
    <w:p w:rsidR="008A6FB8" w:rsidRPr="00BB2E53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Pr="00BB2E53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3. Podučavanje (za nenastavno osoblje iz inozemnih tvrtki)</w:t>
      </w:r>
    </w:p>
    <w:p w:rsidR="008A6FB8" w:rsidRPr="00BB2E53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Prijavu za ovu vrstu mobilnosti podnosi</w:t>
      </w:r>
      <w:r>
        <w:rPr>
          <w:rFonts w:ascii="Times New Roman" w:hAnsi="Times New Roman" w:cs="Times New Roman"/>
          <w:sz w:val="24"/>
        </w:rPr>
        <w:t xml:space="preserve"> Arca </w:t>
      </w:r>
      <w:proofErr w:type="spellStart"/>
      <w:r>
        <w:rPr>
          <w:rFonts w:ascii="Times New Roman" w:hAnsi="Times New Roman" w:cs="Times New Roman"/>
          <w:sz w:val="24"/>
        </w:rPr>
        <w:t>ako</w:t>
      </w:r>
      <w:r w:rsidRPr="00BB2E53">
        <w:rPr>
          <w:rFonts w:ascii="Times New Roman" w:hAnsi="Times New Roman" w:cs="Times New Roman"/>
          <w:sz w:val="24"/>
        </w:rPr>
        <w:t>želi</w:t>
      </w:r>
      <w:proofErr w:type="spellEnd"/>
      <w:r w:rsidRPr="00BB2E53">
        <w:rPr>
          <w:rFonts w:ascii="Times New Roman" w:hAnsi="Times New Roman" w:cs="Times New Roman"/>
          <w:sz w:val="24"/>
        </w:rPr>
        <w:t xml:space="preserve"> ugostiti predavača, osim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osnovnih dokumenata, uz prijavu je potrebno priložiti i Pozivno pismo u kojem je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 xml:space="preserve">iskazan interes </w:t>
      </w:r>
      <w:r>
        <w:rPr>
          <w:rFonts w:ascii="Times New Roman" w:hAnsi="Times New Roman" w:cs="Times New Roman"/>
          <w:sz w:val="24"/>
        </w:rPr>
        <w:t>Arce</w:t>
      </w:r>
      <w:r w:rsidRPr="00BB2E53">
        <w:rPr>
          <w:rFonts w:ascii="Times New Roman" w:hAnsi="Times New Roman" w:cs="Times New Roman"/>
          <w:sz w:val="24"/>
        </w:rPr>
        <w:t xml:space="preserve"> i koje potpisuje osoba koja poziva inozemnog predavača.</w:t>
      </w:r>
    </w:p>
    <w:p w:rsidR="008A6FB8" w:rsidRPr="00BB2E53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Za ovu aktivnost minimalno trajanje je 1 dan, a minimalan broj sati predavanja nije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propisan.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Prihvatljivi sudionici za ovu aktivnost: osoblje iz inozemnih tvrtki pozvano na aktivnost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podučavanja, iz bilo koje tvrtke/poduzeća koje djeluje u zemlji sudionici u programu,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 xml:space="preserve">javne ili privatne organizacije (koja nema Povelju </w:t>
      </w:r>
      <w:proofErr w:type="spellStart"/>
      <w:r w:rsidRPr="00BB2E53">
        <w:rPr>
          <w:rFonts w:ascii="Times New Roman" w:hAnsi="Times New Roman" w:cs="Times New Roman"/>
          <w:sz w:val="24"/>
        </w:rPr>
        <w:t>Erasmus</w:t>
      </w:r>
      <w:proofErr w:type="spellEnd"/>
      <w:r w:rsidRPr="00BB2E53">
        <w:rPr>
          <w:rFonts w:ascii="Times New Roman" w:hAnsi="Times New Roman" w:cs="Times New Roman"/>
          <w:sz w:val="24"/>
        </w:rPr>
        <w:t xml:space="preserve"> za visoko obrazovanje) koja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 xml:space="preserve">djeluje na </w:t>
      </w:r>
      <w:r w:rsidRPr="00BB2E53">
        <w:rPr>
          <w:rFonts w:ascii="Times New Roman" w:hAnsi="Times New Roman" w:cs="Times New Roman"/>
          <w:sz w:val="24"/>
        </w:rPr>
        <w:lastRenderedPageBreak/>
        <w:t>tržištu rada ili u područjima obrazovanja, osposobljavanja i mladih uključujući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zaposlene doktorande</w:t>
      </w:r>
      <w:r>
        <w:rPr>
          <w:rFonts w:ascii="Times New Roman" w:hAnsi="Times New Roman" w:cs="Times New Roman"/>
          <w:sz w:val="24"/>
        </w:rPr>
        <w:t>).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 xml:space="preserve">4. Kombinirana mobilnost podučavanje/osposobljavanje 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- u kombiniranoj mobilnosti podučavanje/osposobljavanje smanjuje se broj obveznih sati na 4 sata/tjedan, a popunjava se Ugovor o podučavanju (</w:t>
      </w:r>
      <w:proofErr w:type="spellStart"/>
      <w:r w:rsidRPr="00BB2E53">
        <w:rPr>
          <w:rFonts w:ascii="Times New Roman" w:hAnsi="Times New Roman" w:cs="Times New Roman"/>
          <w:sz w:val="24"/>
        </w:rPr>
        <w:t>Teaching</w:t>
      </w:r>
      <w:proofErr w:type="spellEnd"/>
      <w:r w:rsidRPr="00BB2E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B2E53">
        <w:rPr>
          <w:rFonts w:ascii="Times New Roman" w:hAnsi="Times New Roman" w:cs="Times New Roman"/>
          <w:sz w:val="24"/>
        </w:rPr>
        <w:t>Agreement</w:t>
      </w:r>
      <w:proofErr w:type="spellEnd"/>
      <w:r w:rsidRPr="00BB2E53">
        <w:rPr>
          <w:rFonts w:ascii="Times New Roman" w:hAnsi="Times New Roman" w:cs="Times New Roman"/>
          <w:sz w:val="24"/>
        </w:rPr>
        <w:t xml:space="preserve">) te mora postojati potpisan </w:t>
      </w:r>
      <w:proofErr w:type="spellStart"/>
      <w:r w:rsidRPr="00BB2E53">
        <w:rPr>
          <w:rFonts w:ascii="Times New Roman" w:hAnsi="Times New Roman" w:cs="Times New Roman"/>
          <w:sz w:val="24"/>
        </w:rPr>
        <w:t>Erasmus</w:t>
      </w:r>
      <w:proofErr w:type="spellEnd"/>
      <w:r w:rsidRPr="00BB2E53">
        <w:rPr>
          <w:rFonts w:ascii="Times New Roman" w:hAnsi="Times New Roman" w:cs="Times New Roman"/>
          <w:sz w:val="24"/>
        </w:rPr>
        <w:t xml:space="preserve">+ među-institucijski sporazum - za nastavno osoblje koje prijavljuje mobilnost u svrhu osposobljavanja i za kombiniranu mobilnost podučavanje/osposobljavanje naglasak je na razvijanju pedagoških vještina i vještina stvaranja kurikuluma 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 xml:space="preserve">5. </w:t>
      </w:r>
      <w:proofErr w:type="spellStart"/>
      <w:r w:rsidRPr="00BB2E53">
        <w:rPr>
          <w:rFonts w:ascii="Times New Roman" w:hAnsi="Times New Roman" w:cs="Times New Roman"/>
          <w:sz w:val="24"/>
        </w:rPr>
        <w:t>Blended</w:t>
      </w:r>
      <w:proofErr w:type="spellEnd"/>
      <w:r w:rsidRPr="00BB2E53">
        <w:rPr>
          <w:rFonts w:ascii="Times New Roman" w:hAnsi="Times New Roman" w:cs="Times New Roman"/>
          <w:sz w:val="24"/>
        </w:rPr>
        <w:t xml:space="preserve"> mobilnost 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 xml:space="preserve">- riječ je o kombinaciji razdoblja fizičke mobilnosti s virtualnom mobilnošću Nastavno i nenastavno osoblje smije započeti svoju aktivnost virtualno na način na koji to organizira prihvatna ustanova/organizacija, no očekuje se da mobilnost nastave i fizički u trenutku kada to epidemiološka situacija dopusti. Sudionik dobiva financijsku potporu (individualnu potporu i Distance Band za put) samo ako je bilo fizičke mobilnosti u minimalnom trajanju. 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 xml:space="preserve">6. Virtualna mobilnost 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- podrazumijeva aktivnosti učenja, podučavanja i osposobljavanja koje se u potpunosti izvode u online okruženju</w:t>
      </w:r>
      <w:r>
        <w:rPr>
          <w:rFonts w:ascii="Times New Roman" w:hAnsi="Times New Roman" w:cs="Times New Roman"/>
          <w:sz w:val="24"/>
        </w:rPr>
        <w:t>.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 xml:space="preserve">Mobilnost u svrhu podučavanja je moguće ostvariti na visokoobrazovnim ustanovama s kojima </w:t>
      </w:r>
      <w:r>
        <w:rPr>
          <w:rFonts w:ascii="Times New Roman" w:hAnsi="Times New Roman" w:cs="Times New Roman"/>
          <w:sz w:val="24"/>
        </w:rPr>
        <w:t>Veleučilište Arca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 xml:space="preserve">ima potpisan </w:t>
      </w:r>
      <w:proofErr w:type="spellStart"/>
      <w:r w:rsidRPr="00BB2E53">
        <w:rPr>
          <w:rFonts w:ascii="Times New Roman" w:hAnsi="Times New Roman" w:cs="Times New Roman"/>
          <w:sz w:val="24"/>
        </w:rPr>
        <w:t>Erasmus</w:t>
      </w:r>
      <w:proofErr w:type="spellEnd"/>
      <w:r w:rsidRPr="00BB2E53">
        <w:rPr>
          <w:rFonts w:ascii="Times New Roman" w:hAnsi="Times New Roman" w:cs="Times New Roman"/>
          <w:sz w:val="24"/>
        </w:rPr>
        <w:t xml:space="preserve">+ bilateralni sporazum. Popis sporazuma nalazi se u Vezanim dokumentima Natječaja. 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 xml:space="preserve">Mobilnost u svrhu osposobljavanja moguće je ostvariti i na ustanovama s kojima </w:t>
      </w:r>
      <w:r>
        <w:rPr>
          <w:rFonts w:ascii="Times New Roman" w:hAnsi="Times New Roman" w:cs="Times New Roman"/>
          <w:sz w:val="24"/>
        </w:rPr>
        <w:t xml:space="preserve">Veleučilište Arca </w:t>
      </w:r>
      <w:r w:rsidRPr="00BB2E53">
        <w:rPr>
          <w:rFonts w:ascii="Times New Roman" w:hAnsi="Times New Roman" w:cs="Times New Roman"/>
          <w:sz w:val="24"/>
        </w:rPr>
        <w:t xml:space="preserve">nema potpisani </w:t>
      </w:r>
      <w:proofErr w:type="spellStart"/>
      <w:r w:rsidRPr="00BB2E53">
        <w:rPr>
          <w:rFonts w:ascii="Times New Roman" w:hAnsi="Times New Roman" w:cs="Times New Roman"/>
          <w:sz w:val="24"/>
        </w:rPr>
        <w:t>Erasmus</w:t>
      </w:r>
      <w:proofErr w:type="spellEnd"/>
      <w:r w:rsidRPr="00BB2E53">
        <w:rPr>
          <w:rFonts w:ascii="Times New Roman" w:hAnsi="Times New Roman" w:cs="Times New Roman"/>
          <w:sz w:val="24"/>
        </w:rPr>
        <w:t xml:space="preserve">+ sporazum, uz jedan od sljedećih uvjeta: 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 xml:space="preserve">• Prihvatna ustanova je nositeljica </w:t>
      </w:r>
      <w:proofErr w:type="spellStart"/>
      <w:r w:rsidRPr="00BB2E53">
        <w:rPr>
          <w:rFonts w:ascii="Times New Roman" w:hAnsi="Times New Roman" w:cs="Times New Roman"/>
          <w:sz w:val="24"/>
        </w:rPr>
        <w:t>Erasmus</w:t>
      </w:r>
      <w:proofErr w:type="spellEnd"/>
      <w:r w:rsidRPr="00BB2E53">
        <w:rPr>
          <w:rFonts w:ascii="Times New Roman" w:hAnsi="Times New Roman" w:cs="Times New Roman"/>
          <w:sz w:val="24"/>
        </w:rPr>
        <w:t xml:space="preserve"> povelje za visoko obrazovanje (</w:t>
      </w:r>
      <w:proofErr w:type="spellStart"/>
      <w:r w:rsidRPr="00BB2E53">
        <w:rPr>
          <w:rFonts w:ascii="Times New Roman" w:hAnsi="Times New Roman" w:cs="Times New Roman"/>
          <w:sz w:val="24"/>
        </w:rPr>
        <w:t>Erasmus</w:t>
      </w:r>
      <w:proofErr w:type="spellEnd"/>
      <w:r w:rsidRPr="00BB2E53">
        <w:rPr>
          <w:rFonts w:ascii="Times New Roman" w:hAnsi="Times New Roman" w:cs="Times New Roman"/>
          <w:sz w:val="24"/>
        </w:rPr>
        <w:t xml:space="preserve"> Charter for </w:t>
      </w:r>
      <w:proofErr w:type="spellStart"/>
      <w:r w:rsidRPr="00BB2E53">
        <w:rPr>
          <w:rFonts w:ascii="Times New Roman" w:hAnsi="Times New Roman" w:cs="Times New Roman"/>
          <w:sz w:val="24"/>
        </w:rPr>
        <w:t>Higher</w:t>
      </w:r>
      <w:proofErr w:type="spellEnd"/>
      <w:r w:rsidRPr="00BB2E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B2E53">
        <w:rPr>
          <w:rFonts w:ascii="Times New Roman" w:hAnsi="Times New Roman" w:cs="Times New Roman"/>
          <w:sz w:val="24"/>
        </w:rPr>
        <w:t>Education</w:t>
      </w:r>
      <w:proofErr w:type="spellEnd"/>
      <w:r w:rsidRPr="00BB2E53">
        <w:rPr>
          <w:rFonts w:ascii="Times New Roman" w:hAnsi="Times New Roman" w:cs="Times New Roman"/>
          <w:sz w:val="24"/>
        </w:rPr>
        <w:t xml:space="preserve">) 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 xml:space="preserve">• U slučaju da se osposobljavanje planira na ustanovi koja nema status visokoobrazovne ustanove, tada se odnos između člana osoblja i ustanove definira individualnim planom rada. 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 xml:space="preserve">Za dolaznu mobilnost osoblja iz inozemne tvrtke/trgovačkih društava u svrhu podučavanja nije potrebno sklopiti </w:t>
      </w:r>
      <w:proofErr w:type="spellStart"/>
      <w:r w:rsidRPr="00BB2E53">
        <w:rPr>
          <w:rFonts w:ascii="Times New Roman" w:hAnsi="Times New Roman" w:cs="Times New Roman"/>
          <w:sz w:val="24"/>
        </w:rPr>
        <w:t>Erasmus</w:t>
      </w:r>
      <w:proofErr w:type="spellEnd"/>
      <w:r w:rsidRPr="00BB2E53">
        <w:rPr>
          <w:rFonts w:ascii="Times New Roman" w:hAnsi="Times New Roman" w:cs="Times New Roman"/>
          <w:sz w:val="24"/>
        </w:rPr>
        <w:t xml:space="preserve">+ sporazum. 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Pr="00BD44E0" w:rsidRDefault="008A6FB8" w:rsidP="008A6FB8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  <w:r w:rsidRPr="00BD44E0">
        <w:rPr>
          <w:rFonts w:ascii="Times New Roman" w:hAnsi="Times New Roman" w:cs="Times New Roman"/>
          <w:i/>
          <w:sz w:val="24"/>
          <w:u w:val="single"/>
        </w:rPr>
        <w:t xml:space="preserve">TRAJANJE MOBILNOSTI 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 xml:space="preserve">U svrhu podučavanja najkraće trajanje mobilnosti je 2 dana, a najduže 60 dana, uz obvezu održavanja najmanje 8 sati nastave tjedno. 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 xml:space="preserve">U svrhu osposobljavanja najkraće trajanje mobilnosti je 2 dana, a najduže 60 dana. 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 xml:space="preserve">U svrhu kombinirane mobilnosti podučavanje/osposobljavanje najkraće trajanje mobilnosti je 2 dana, a najduže 60 dana, uz obvezu održavanja najmanje 4 sata nastave tjedno. 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 xml:space="preserve">Za dolaznu mobilnost osoblja aktivnost inozemne tvrtke/trgovačkih društava u svrhu podučavanja minimalno trajanje je 1 dan, a minimalan broj sati predavanja nije propisan. </w:t>
      </w:r>
    </w:p>
    <w:p w:rsidR="008A6FB8" w:rsidRDefault="008A6FB8" w:rsidP="008A6FB8">
      <w:pPr>
        <w:ind w:left="0" w:firstLine="0"/>
      </w:pPr>
    </w:p>
    <w:p w:rsidR="008A6FB8" w:rsidRDefault="008A6FB8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8A6FB8">
        <w:rPr>
          <w:rFonts w:ascii="Times New Roman" w:hAnsi="Times New Roman" w:cs="Times New Roman"/>
          <w:sz w:val="24"/>
        </w:rPr>
        <w:t xml:space="preserve">Mobilnost se mora održati u kontinuitetu. Ako predloženi datumi mobilnosti uključuju dane vikenda, isti moraju biti pokriveni aktivnostima u </w:t>
      </w:r>
      <w:proofErr w:type="spellStart"/>
      <w:r w:rsidRPr="008A6FB8">
        <w:rPr>
          <w:rFonts w:ascii="Times New Roman" w:hAnsi="Times New Roman" w:cs="Times New Roman"/>
          <w:sz w:val="24"/>
        </w:rPr>
        <w:t>Mobility</w:t>
      </w:r>
      <w:proofErr w:type="spellEnd"/>
      <w:r w:rsidRPr="008A6F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6FB8">
        <w:rPr>
          <w:rFonts w:ascii="Times New Roman" w:hAnsi="Times New Roman" w:cs="Times New Roman"/>
          <w:sz w:val="24"/>
        </w:rPr>
        <w:t>Agreementu</w:t>
      </w:r>
      <w:proofErr w:type="spellEnd"/>
      <w:r w:rsidRPr="008A6FB8">
        <w:rPr>
          <w:rFonts w:ascii="Times New Roman" w:hAnsi="Times New Roman" w:cs="Times New Roman"/>
          <w:sz w:val="24"/>
        </w:rPr>
        <w:t xml:space="preserve"> kako bi mogli biti financirani. Na trajanje mobilnosti u radnim danima može se zatražiti još najviše 2 dana namijenjena putovanju od i do destinacije mobilnosti. Zatraženi broj dana mobilnosti treba biti u skladu s opsegom aktivnosti planiranih tijekom mobilnosti. </w:t>
      </w:r>
    </w:p>
    <w:p w:rsidR="008A6FB8" w:rsidRDefault="008A6FB8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</w:p>
    <w:p w:rsidR="008A6FB8" w:rsidRPr="008A6FB8" w:rsidRDefault="008A6FB8" w:rsidP="008A6FB8">
      <w:pPr>
        <w:spacing w:line="276" w:lineRule="auto"/>
        <w:ind w:left="0" w:firstLine="0"/>
        <w:rPr>
          <w:rFonts w:ascii="Times New Roman" w:hAnsi="Times New Roman" w:cs="Times New Roman"/>
          <w:sz w:val="28"/>
        </w:rPr>
      </w:pPr>
      <w:r w:rsidRPr="008A6FB8">
        <w:rPr>
          <w:rFonts w:ascii="Times New Roman" w:hAnsi="Times New Roman" w:cs="Times New Roman"/>
          <w:sz w:val="24"/>
        </w:rPr>
        <w:t>Napomena: Ukoliko u trenutku prijave nisu poznati točni datumi mobilnosti, prijavitelj mora upisati procjenu razdoblja mobilnosti, npr. određeni mjesec u godini ili slično. O točnim datumima planirane mobilnosti prijavitelj je dužan obavijestiti nadležn</w:t>
      </w:r>
      <w:r>
        <w:rPr>
          <w:rFonts w:ascii="Times New Roman" w:hAnsi="Times New Roman" w:cs="Times New Roman"/>
          <w:sz w:val="24"/>
        </w:rPr>
        <w:t>u</w:t>
      </w:r>
      <w:r w:rsidRPr="008A6FB8">
        <w:rPr>
          <w:rFonts w:ascii="Times New Roman" w:hAnsi="Times New Roman" w:cs="Times New Roman"/>
          <w:sz w:val="24"/>
        </w:rPr>
        <w:t xml:space="preserve"> osob</w:t>
      </w:r>
      <w:r>
        <w:rPr>
          <w:rFonts w:ascii="Times New Roman" w:hAnsi="Times New Roman" w:cs="Times New Roman"/>
          <w:sz w:val="24"/>
        </w:rPr>
        <w:t xml:space="preserve">u </w:t>
      </w:r>
      <w:r w:rsidRPr="008A6FB8">
        <w:rPr>
          <w:rFonts w:ascii="Times New Roman" w:hAnsi="Times New Roman" w:cs="Times New Roman"/>
          <w:sz w:val="24"/>
        </w:rPr>
        <w:t>odmah po saznanju i u najkraćem mogućem roku te o tome dobiti njihovu suglasnost.</w:t>
      </w:r>
    </w:p>
    <w:p w:rsidR="008A6FB8" w:rsidRPr="00BD44E0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Pr="00BD44E0" w:rsidRDefault="008A6FB8" w:rsidP="008A6FB8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  <w:r w:rsidRPr="00BD44E0">
        <w:rPr>
          <w:rFonts w:ascii="Times New Roman" w:hAnsi="Times New Roman" w:cs="Times New Roman"/>
          <w:i/>
          <w:sz w:val="24"/>
          <w:u w:val="single"/>
        </w:rPr>
        <w:t>FINANCIJSKA POTPORA</w:t>
      </w:r>
    </w:p>
    <w:p w:rsidR="008A6FB8" w:rsidRPr="00BD44E0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proofErr w:type="spellStart"/>
      <w:r w:rsidRPr="00BE1E74">
        <w:rPr>
          <w:rFonts w:ascii="Times New Roman" w:hAnsi="Times New Roman" w:cs="Times New Roman"/>
          <w:sz w:val="24"/>
        </w:rPr>
        <w:t>Erasmus</w:t>
      </w:r>
      <w:proofErr w:type="spellEnd"/>
      <w:r w:rsidRPr="00BE1E74">
        <w:rPr>
          <w:rFonts w:ascii="Times New Roman" w:hAnsi="Times New Roman" w:cs="Times New Roman"/>
          <w:sz w:val="24"/>
        </w:rPr>
        <w:t xml:space="preserve">+ financijska potpora služi kao sufinanciranje mobilnosti. Iznos financijske potpore – </w:t>
      </w:r>
      <w:proofErr w:type="spellStart"/>
      <w:r w:rsidRPr="00BE1E74">
        <w:rPr>
          <w:rFonts w:ascii="Times New Roman" w:hAnsi="Times New Roman" w:cs="Times New Roman"/>
          <w:sz w:val="24"/>
        </w:rPr>
        <w:t>granta</w:t>
      </w:r>
      <w:proofErr w:type="spellEnd"/>
      <w:r w:rsidRPr="00BE1E74">
        <w:rPr>
          <w:rFonts w:ascii="Times New Roman" w:hAnsi="Times New Roman" w:cs="Times New Roman"/>
          <w:sz w:val="24"/>
        </w:rPr>
        <w:t xml:space="preserve"> za svaku osobu čini 80% najvišeg iznosa dnevnice određene od strane Europske komisije (za iznose vidjeti Tablicu za izračun financijske potpore za (ne)nastavno osoblje u Vezanim dokumentima Natječaja).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E1E74">
        <w:rPr>
          <w:rFonts w:ascii="Times New Roman" w:hAnsi="Times New Roman" w:cs="Times New Roman"/>
          <w:sz w:val="24"/>
        </w:rPr>
        <w:t xml:space="preserve">Sukladno Pravilniku o izmjenama i dopunama Pravilnika o porezu na dohodak, dnevnice ne podliježu oporezivanju. Nastavno i nenastavno osoblje ima pravo na naknadu troškova putovanja iz Hrvatske do odredišta mobilnosti u inozemstvu. Putni troškovi dodjeljuju se na temelju udaljenosti do odredišta mobilnosti (vidjeti dokument Iznosi financijske potpore) u obliku paušalnog iznosa. 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E1E74">
        <w:rPr>
          <w:rFonts w:ascii="Times New Roman" w:hAnsi="Times New Roman" w:cs="Times New Roman"/>
          <w:sz w:val="24"/>
        </w:rPr>
        <w:t>Udaljenost u kilometrima računa se pomoću kalkulatora objavljenog na stranicama Europske komisije (</w:t>
      </w:r>
      <w:hyperlink r:id="rId8" w:history="1">
        <w:r w:rsidRPr="002D311A">
          <w:rPr>
            <w:rStyle w:val="Hiperveza"/>
            <w:rFonts w:ascii="Times New Roman" w:hAnsi="Times New Roman" w:cs="Times New Roman"/>
            <w:sz w:val="24"/>
          </w:rPr>
          <w:t>http://ec.europa.eu/programmes/erasmus-plus/tools/distance_en.htm</w:t>
        </w:r>
      </w:hyperlink>
      <w:r w:rsidRPr="00BE1E74">
        <w:rPr>
          <w:rFonts w:ascii="Times New Roman" w:hAnsi="Times New Roman" w:cs="Times New Roman"/>
          <w:sz w:val="24"/>
        </w:rPr>
        <w:t xml:space="preserve">). 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E1E74">
        <w:rPr>
          <w:rFonts w:ascii="Times New Roman" w:hAnsi="Times New Roman" w:cs="Times New Roman"/>
          <w:sz w:val="24"/>
        </w:rPr>
        <w:t>Iznos za troškove puta izračunava se na temelju kalkulatorom određene zračne udaljenosti između polazišta i destinacije u jednom smjeru, a doprinos trošku se odnosi na dvosmjerno putovanje. Osoblje je dužno čuvati putnu dokumentaciju za potrebe obračuna putnog naloga. Putni nalog se otvara na</w:t>
      </w:r>
      <w:r>
        <w:rPr>
          <w:rFonts w:ascii="Times New Roman" w:hAnsi="Times New Roman" w:cs="Times New Roman"/>
          <w:sz w:val="24"/>
        </w:rPr>
        <w:t xml:space="preserve"> Veleučilištu Arca. </w:t>
      </w:r>
      <w:r w:rsidRPr="00BE1E74">
        <w:rPr>
          <w:rFonts w:ascii="Times New Roman" w:hAnsi="Times New Roman" w:cs="Times New Roman"/>
          <w:sz w:val="24"/>
        </w:rPr>
        <w:t>U putne troškove ne uračunavaju se troškovi nastali uslijed otkaza putovanja niti troškovi putnog osiguranja. Broj dodijeljenih financijskih potpora-</w:t>
      </w:r>
      <w:proofErr w:type="spellStart"/>
      <w:r w:rsidRPr="00BE1E74">
        <w:rPr>
          <w:rFonts w:ascii="Times New Roman" w:hAnsi="Times New Roman" w:cs="Times New Roman"/>
          <w:sz w:val="24"/>
        </w:rPr>
        <w:t>granta</w:t>
      </w:r>
      <w:proofErr w:type="spellEnd"/>
      <w:r w:rsidRPr="00BE1E74">
        <w:rPr>
          <w:rFonts w:ascii="Times New Roman" w:hAnsi="Times New Roman" w:cs="Times New Roman"/>
          <w:sz w:val="24"/>
        </w:rPr>
        <w:t xml:space="preserve"> ovisi o broju prijavljenih kandidata, trajanju mobilnosti te o osiguranim financijskim sredstvima.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  <w:u w:val="single"/>
        </w:rPr>
      </w:pPr>
      <w:r w:rsidRPr="00B11BE3">
        <w:rPr>
          <w:rFonts w:ascii="Times New Roman" w:hAnsi="Times New Roman" w:cs="Times New Roman"/>
          <w:sz w:val="24"/>
          <w:u w:val="single"/>
        </w:rPr>
        <w:t>DODATAK ZA „ZELENO“ PUTOVANJE (GREEN TRAVEL)</w:t>
      </w:r>
    </w:p>
    <w:p w:rsidR="008A6FB8" w:rsidRPr="00B11BE3" w:rsidRDefault="008A6FB8" w:rsidP="008A6FB8">
      <w:pPr>
        <w:ind w:left="0" w:firstLine="0"/>
        <w:rPr>
          <w:rFonts w:ascii="Times New Roman" w:hAnsi="Times New Roman" w:cs="Times New Roman"/>
          <w:sz w:val="24"/>
          <w:u w:val="single"/>
        </w:rPr>
      </w:pPr>
    </w:p>
    <w:p w:rsidR="008A6FB8" w:rsidRPr="00B11BE3" w:rsidRDefault="008A6FB8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B11BE3">
        <w:rPr>
          <w:rFonts w:ascii="Times New Roman" w:hAnsi="Times New Roman" w:cs="Times New Roman"/>
          <w:sz w:val="24"/>
        </w:rPr>
        <w:t>Sudionici mobilnosti koji koriste zeleni način putovanja (npr. vlak, autobus, bicikl) mogu primiti</w:t>
      </w:r>
      <w:r>
        <w:rPr>
          <w:rFonts w:ascii="Times New Roman" w:hAnsi="Times New Roman" w:cs="Times New Roman"/>
          <w:sz w:val="24"/>
        </w:rPr>
        <w:t xml:space="preserve"> </w:t>
      </w:r>
      <w:r w:rsidRPr="00B11BE3">
        <w:rPr>
          <w:rFonts w:ascii="Times New Roman" w:hAnsi="Times New Roman" w:cs="Times New Roman"/>
          <w:sz w:val="24"/>
        </w:rPr>
        <w:t>jednokratni dodatni financijski poticaj kao dodatni iznos za pojedinačnu potporu za povratno</w:t>
      </w:r>
      <w:r>
        <w:rPr>
          <w:rFonts w:ascii="Times New Roman" w:hAnsi="Times New Roman" w:cs="Times New Roman"/>
          <w:sz w:val="24"/>
        </w:rPr>
        <w:t xml:space="preserve"> </w:t>
      </w:r>
      <w:r w:rsidRPr="00B11BE3">
        <w:rPr>
          <w:rFonts w:ascii="Times New Roman" w:hAnsi="Times New Roman" w:cs="Times New Roman"/>
          <w:sz w:val="24"/>
        </w:rPr>
        <w:t>putovanje, ako se za putovanje u oba smjera koristi zeleni način putovanja.</w:t>
      </w:r>
    </w:p>
    <w:p w:rsidR="008A6FB8" w:rsidRPr="00B11BE3" w:rsidRDefault="008A6FB8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B11BE3">
        <w:rPr>
          <w:rFonts w:ascii="Times New Roman" w:hAnsi="Times New Roman" w:cs="Times New Roman"/>
          <w:sz w:val="24"/>
        </w:rPr>
        <w:t xml:space="preserve">U trenutku sklapanja ugovora o dodjeli financijske potpore sa </w:t>
      </w:r>
      <w:r>
        <w:rPr>
          <w:rFonts w:ascii="Times New Roman" w:hAnsi="Times New Roman" w:cs="Times New Roman"/>
          <w:sz w:val="24"/>
        </w:rPr>
        <w:t>Veleučilištem Arca</w:t>
      </w:r>
      <w:r w:rsidRPr="00B11BE3">
        <w:rPr>
          <w:rFonts w:ascii="Times New Roman" w:hAnsi="Times New Roman" w:cs="Times New Roman"/>
          <w:sz w:val="24"/>
        </w:rPr>
        <w:t>, definirat</w:t>
      </w:r>
      <w:r>
        <w:rPr>
          <w:rFonts w:ascii="Times New Roman" w:hAnsi="Times New Roman" w:cs="Times New Roman"/>
          <w:sz w:val="24"/>
        </w:rPr>
        <w:t xml:space="preserve"> </w:t>
      </w:r>
      <w:r w:rsidRPr="00B11BE3">
        <w:rPr>
          <w:rFonts w:ascii="Times New Roman" w:hAnsi="Times New Roman" w:cs="Times New Roman"/>
          <w:sz w:val="24"/>
        </w:rPr>
        <w:t>će se financiranje zelenog načina putovanja te će sudionici potpisivati Izjavu o korištenju</w:t>
      </w:r>
    </w:p>
    <w:p w:rsidR="008A6FB8" w:rsidRDefault="008A6FB8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B11BE3">
        <w:rPr>
          <w:rFonts w:ascii="Times New Roman" w:hAnsi="Times New Roman" w:cs="Times New Roman"/>
          <w:sz w:val="24"/>
        </w:rPr>
        <w:t>zelenog putovanja.</w:t>
      </w:r>
    </w:p>
    <w:p w:rsidR="008A6FB8" w:rsidRDefault="008A6FB8" w:rsidP="008A6FB8">
      <w:pPr>
        <w:spacing w:line="276" w:lineRule="auto"/>
        <w:ind w:left="0" w:firstLine="0"/>
        <w:rPr>
          <w:rFonts w:ascii="Times New Roman" w:hAnsi="Times New Roman" w:cs="Times New Roman"/>
          <w:i/>
          <w:sz w:val="24"/>
          <w:u w:val="single"/>
        </w:rPr>
      </w:pPr>
    </w:p>
    <w:p w:rsidR="008A6FB8" w:rsidRDefault="008A6FB8" w:rsidP="008A6FB8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  <w:r w:rsidRPr="00BD44E0">
        <w:rPr>
          <w:rFonts w:ascii="Times New Roman" w:hAnsi="Times New Roman" w:cs="Times New Roman"/>
          <w:i/>
          <w:sz w:val="24"/>
          <w:u w:val="single"/>
        </w:rPr>
        <w:t>ISPLATA FINANCIJSKE POTPORE</w:t>
      </w:r>
    </w:p>
    <w:p w:rsidR="008A6FB8" w:rsidRPr="00BD44E0" w:rsidRDefault="008A6FB8" w:rsidP="008A6FB8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</w:p>
    <w:p w:rsidR="008A6FB8" w:rsidRPr="00BD44E0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D44E0">
        <w:rPr>
          <w:rFonts w:ascii="Times New Roman" w:hAnsi="Times New Roman" w:cs="Times New Roman"/>
          <w:sz w:val="24"/>
        </w:rPr>
        <w:t xml:space="preserve">Osobe koje ostvare pravo na financijsku potporu za mobilnost sklopit će s </w:t>
      </w:r>
      <w:r>
        <w:rPr>
          <w:rFonts w:ascii="Times New Roman" w:hAnsi="Times New Roman" w:cs="Times New Roman"/>
          <w:sz w:val="24"/>
        </w:rPr>
        <w:t>Veleučilištem Arca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 xml:space="preserve">Ugovor o dodjeli financijske potpore za </w:t>
      </w:r>
      <w:proofErr w:type="spellStart"/>
      <w:r w:rsidRPr="00BD44E0">
        <w:rPr>
          <w:rFonts w:ascii="Times New Roman" w:hAnsi="Times New Roman" w:cs="Times New Roman"/>
          <w:sz w:val="24"/>
        </w:rPr>
        <w:t>Erasmus</w:t>
      </w:r>
      <w:proofErr w:type="spellEnd"/>
      <w:r w:rsidRPr="00BD44E0">
        <w:rPr>
          <w:rFonts w:ascii="Times New Roman" w:hAnsi="Times New Roman" w:cs="Times New Roman"/>
          <w:sz w:val="24"/>
        </w:rPr>
        <w:t>+ mobilnost osoblja u svrhu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 xml:space="preserve">podučavanja/Ugovor o dodjeli financijske potpore za </w:t>
      </w:r>
      <w:proofErr w:type="spellStart"/>
      <w:r w:rsidRPr="00BD44E0">
        <w:rPr>
          <w:rFonts w:ascii="Times New Roman" w:hAnsi="Times New Roman" w:cs="Times New Roman"/>
          <w:sz w:val="24"/>
        </w:rPr>
        <w:t>Erasmus</w:t>
      </w:r>
      <w:proofErr w:type="spellEnd"/>
      <w:r w:rsidRPr="00BD44E0">
        <w:rPr>
          <w:rFonts w:ascii="Times New Roman" w:hAnsi="Times New Roman" w:cs="Times New Roman"/>
          <w:sz w:val="24"/>
        </w:rPr>
        <w:t>+ mobilnost osoblja u svrhu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osposobljavanja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 xml:space="preserve">kojim se reguliraju međusobna prava i obveze. </w:t>
      </w:r>
    </w:p>
    <w:p w:rsidR="008A6FB8" w:rsidRPr="00BD44E0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Veleučilište Arca</w:t>
      </w:r>
      <w:r w:rsidRPr="00BD44E0">
        <w:rPr>
          <w:rFonts w:ascii="Times New Roman" w:hAnsi="Times New Roman" w:cs="Times New Roman"/>
          <w:sz w:val="24"/>
        </w:rPr>
        <w:t xml:space="preserve"> se obvezuje na žiro račun , uz nalog za prijenos sredstava, isplatiti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financijsku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potporu za Korisnika.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D44E0">
        <w:rPr>
          <w:rFonts w:ascii="Times New Roman" w:hAnsi="Times New Roman" w:cs="Times New Roman"/>
          <w:sz w:val="24"/>
        </w:rPr>
        <w:t xml:space="preserve">Odobreni iznos financijskih sredstava za Korisnika </w:t>
      </w:r>
      <w:r w:rsidRPr="008A6FB8">
        <w:rPr>
          <w:rFonts w:ascii="Times New Roman" w:hAnsi="Times New Roman" w:cs="Times New Roman"/>
          <w:sz w:val="24"/>
        </w:rPr>
        <w:t xml:space="preserve">Veleučilište Arca </w:t>
      </w:r>
      <w:r w:rsidRPr="00BD44E0">
        <w:rPr>
          <w:rFonts w:ascii="Times New Roman" w:hAnsi="Times New Roman" w:cs="Times New Roman"/>
          <w:sz w:val="24"/>
        </w:rPr>
        <w:t>će doznačiti na žiro račun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najkasnije 30 dana od potpisivanja Ugovora o dodjeli financijske potpore za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44E0">
        <w:rPr>
          <w:rFonts w:ascii="Times New Roman" w:hAnsi="Times New Roman" w:cs="Times New Roman"/>
          <w:sz w:val="24"/>
        </w:rPr>
        <w:t>Erasmus</w:t>
      </w:r>
      <w:proofErr w:type="spellEnd"/>
      <w:r w:rsidRPr="00BD44E0">
        <w:rPr>
          <w:rFonts w:ascii="Times New Roman" w:hAnsi="Times New Roman" w:cs="Times New Roman"/>
          <w:sz w:val="24"/>
        </w:rPr>
        <w:t>+ mobilnost osoblja u svrhu podučavanja / Ugovora o dodjeli financijske potpore za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44E0">
        <w:rPr>
          <w:rFonts w:ascii="Times New Roman" w:hAnsi="Times New Roman" w:cs="Times New Roman"/>
          <w:sz w:val="24"/>
        </w:rPr>
        <w:t>Erasmus</w:t>
      </w:r>
      <w:proofErr w:type="spellEnd"/>
      <w:r w:rsidRPr="00BD44E0">
        <w:rPr>
          <w:rFonts w:ascii="Times New Roman" w:hAnsi="Times New Roman" w:cs="Times New Roman"/>
          <w:sz w:val="24"/>
        </w:rPr>
        <w:t>+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mobilnost osoblja u svrhu osposobljavanja, u kunskoj protuvrijednosti prema tečaju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 xml:space="preserve">koji određuje </w:t>
      </w:r>
      <w:r>
        <w:rPr>
          <w:rFonts w:ascii="Times New Roman" w:hAnsi="Times New Roman" w:cs="Times New Roman"/>
          <w:sz w:val="24"/>
        </w:rPr>
        <w:t xml:space="preserve">Visoka škola </w:t>
      </w:r>
      <w:r w:rsidRPr="00BD44E0">
        <w:rPr>
          <w:rFonts w:ascii="Times New Roman" w:hAnsi="Times New Roman" w:cs="Times New Roman"/>
          <w:sz w:val="24"/>
        </w:rPr>
        <w:t>, a prema uputama Agencije za mobilnost i programe EU (u daljem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tekstu AMPEU), sukladno važećim propisima Republike Hrvatske i pravilima AMPEU.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Pr="00F9363D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F9363D">
        <w:rPr>
          <w:rFonts w:ascii="Times New Roman" w:hAnsi="Times New Roman" w:cs="Times New Roman"/>
          <w:sz w:val="24"/>
        </w:rPr>
        <w:t>Financijska potpora isplatit će se Korisniku u obliku predujma po putnom nalogu, a konačan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iznos financijske potpore određuje/utvrđuje se nakon što sudionik ispuni EU upitnik u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 xml:space="preserve">internetskom alatu </w:t>
      </w:r>
      <w:proofErr w:type="spellStart"/>
      <w:r w:rsidRPr="00F9363D">
        <w:rPr>
          <w:rFonts w:ascii="Times New Roman" w:hAnsi="Times New Roman" w:cs="Times New Roman"/>
          <w:sz w:val="24"/>
        </w:rPr>
        <w:t>Mobility</w:t>
      </w:r>
      <w:proofErr w:type="spellEnd"/>
      <w:r w:rsidRPr="00F9363D">
        <w:rPr>
          <w:rFonts w:ascii="Times New Roman" w:hAnsi="Times New Roman" w:cs="Times New Roman"/>
          <w:sz w:val="24"/>
        </w:rPr>
        <w:t xml:space="preserve"> Tool i dostavi izvornik potvrde inozemne ustanove o sudjelovanju.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8A6FB8">
        <w:rPr>
          <w:rFonts w:ascii="Times New Roman" w:hAnsi="Times New Roman" w:cs="Times New Roman"/>
          <w:sz w:val="24"/>
        </w:rPr>
        <w:t xml:space="preserve">Veleučilište Arca </w:t>
      </w:r>
      <w:r w:rsidRPr="00F9363D">
        <w:rPr>
          <w:rFonts w:ascii="Times New Roman" w:hAnsi="Times New Roman" w:cs="Times New Roman"/>
          <w:sz w:val="24"/>
        </w:rPr>
        <w:t>je dužno isplatiti samo ona sredstva koja mu je doznačila Nacionalna agencija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odnosno Europska komisija.</w:t>
      </w:r>
    </w:p>
    <w:p w:rsidR="008A6FB8" w:rsidRPr="00F9363D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8A6FB8" w:rsidP="008A6FB8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  <w:r w:rsidRPr="00F9363D">
        <w:rPr>
          <w:rFonts w:ascii="Times New Roman" w:hAnsi="Times New Roman" w:cs="Times New Roman"/>
          <w:i/>
          <w:sz w:val="24"/>
          <w:u w:val="single"/>
        </w:rPr>
        <w:t>OSIGURANJE</w:t>
      </w:r>
    </w:p>
    <w:p w:rsidR="008A6FB8" w:rsidRPr="00F9363D" w:rsidRDefault="008A6FB8" w:rsidP="008A6FB8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F9363D">
        <w:rPr>
          <w:rFonts w:ascii="Times New Roman" w:hAnsi="Times New Roman" w:cs="Times New Roman"/>
          <w:sz w:val="24"/>
        </w:rPr>
        <w:t>Korisnik je dužan biti zdravstveno osiguran za vrijeme trajanja mobilnosti u inozemstvu.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Korisniku koji je zdravstveno osiguran u Republici Hrvatskoj, u područnom uredu HZZO-a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prema mjestu prebivališta može se na osobni zahtjev, besplatno, izdati Europska kartica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zdravstvenog osiguranja (u daljnjem tekstu EKZO). Korisnik za vrijeme trajanja mobilnosti u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bilo kojoj od država članica EU, Islandu, Lihtenštajnu i Norveškoj temeljem EKZO-a može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koristiti neodgodivu zdravstvenu zaštitu.</w:t>
      </w:r>
    </w:p>
    <w:p w:rsidR="008A6FB8" w:rsidRPr="00F9363D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Pr="00F9363D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F9363D">
        <w:rPr>
          <w:rFonts w:ascii="Times New Roman" w:hAnsi="Times New Roman" w:cs="Times New Roman"/>
          <w:sz w:val="24"/>
        </w:rPr>
        <w:lastRenderedPageBreak/>
        <w:t>Osoblje koje mobilnost želi ostvariti u Turskoj ili Makedoniji dužno je sklopiti policu osiguranja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koja mora uključivati zdravstveno osiguranje u inozemstvu. Polica se može sklopiti s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osiguravajućim društvom prema vlastitom izboru u Republici Hrvatskoj ili u državi u kojoj će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se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ostvariti mobilnost.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F9363D">
        <w:rPr>
          <w:rFonts w:ascii="Times New Roman" w:hAnsi="Times New Roman" w:cs="Times New Roman"/>
          <w:sz w:val="24"/>
        </w:rPr>
        <w:t>Osnovno osiguranje obično osigurava nacionalno zdravstveno osiguranje sudionika i za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njegovog boravka u drugoj zemlji EU preko europske zdravstvene iskaznice. Međutim,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osiguranje koje pokriva europska zdravstvena iskaznica ili privatno osiguranje možda nije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dovoljno, posebno u slučaju repatrijacije i određene liječničke intervencije stoga je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 xml:space="preserve">preporuka </w:t>
      </w:r>
      <w:r w:rsidRPr="008A6FB8">
        <w:rPr>
          <w:rFonts w:ascii="Times New Roman" w:hAnsi="Times New Roman" w:cs="Times New Roman"/>
          <w:sz w:val="24"/>
        </w:rPr>
        <w:t>Veleučilišt</w:t>
      </w:r>
      <w:r>
        <w:rPr>
          <w:rFonts w:ascii="Times New Roman" w:hAnsi="Times New Roman" w:cs="Times New Roman"/>
          <w:sz w:val="24"/>
        </w:rPr>
        <w:t xml:space="preserve">a </w:t>
      </w:r>
      <w:r w:rsidRPr="008A6FB8">
        <w:rPr>
          <w:rFonts w:ascii="Times New Roman" w:hAnsi="Times New Roman" w:cs="Times New Roman"/>
          <w:sz w:val="24"/>
        </w:rPr>
        <w:t xml:space="preserve">Arca </w:t>
      </w:r>
      <w:r w:rsidRPr="00F9363D">
        <w:rPr>
          <w:rFonts w:ascii="Times New Roman" w:hAnsi="Times New Roman" w:cs="Times New Roman"/>
          <w:sz w:val="24"/>
        </w:rPr>
        <w:t>sklopiti dodatnu policu zdravstvenog osiguranja.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 xml:space="preserve">Ukoliko je na </w:t>
      </w:r>
      <w:r w:rsidRPr="008A6FB8">
        <w:rPr>
          <w:rFonts w:ascii="Times New Roman" w:hAnsi="Times New Roman" w:cs="Times New Roman"/>
          <w:sz w:val="24"/>
        </w:rPr>
        <w:t>Veleučilišt</w:t>
      </w:r>
      <w:r>
        <w:rPr>
          <w:rFonts w:ascii="Times New Roman" w:hAnsi="Times New Roman" w:cs="Times New Roman"/>
          <w:sz w:val="24"/>
        </w:rPr>
        <w:t xml:space="preserve">u </w:t>
      </w:r>
      <w:r w:rsidRPr="008A6FB8">
        <w:rPr>
          <w:rFonts w:ascii="Times New Roman" w:hAnsi="Times New Roman" w:cs="Times New Roman"/>
          <w:sz w:val="24"/>
        </w:rPr>
        <w:t xml:space="preserve">Arca </w:t>
      </w:r>
      <w:r w:rsidRPr="00F9363D">
        <w:rPr>
          <w:rFonts w:ascii="Times New Roman" w:hAnsi="Times New Roman" w:cs="Times New Roman"/>
          <w:sz w:val="24"/>
        </w:rPr>
        <w:t>putno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osiguranje regulirano na drugačiji način, Korisnik je dužan isto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naglasiti prije upućivanja na mobilnost.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8A6FB8" w:rsidP="008A6FB8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  <w:r w:rsidRPr="00F9363D">
        <w:rPr>
          <w:rFonts w:ascii="Times New Roman" w:hAnsi="Times New Roman" w:cs="Times New Roman"/>
          <w:i/>
          <w:sz w:val="24"/>
          <w:u w:val="single"/>
        </w:rPr>
        <w:t>PROMJENA INSTITUCIJE</w:t>
      </w:r>
    </w:p>
    <w:p w:rsidR="008A6FB8" w:rsidRPr="00F9363D" w:rsidRDefault="008A6FB8" w:rsidP="008A6FB8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</w:p>
    <w:p w:rsidR="008A6FB8" w:rsidRPr="00F9363D" w:rsidRDefault="008A6FB8" w:rsidP="008A6FB8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  <w:r w:rsidRPr="00F9363D">
        <w:rPr>
          <w:rFonts w:ascii="Times New Roman" w:hAnsi="Times New Roman" w:cs="Times New Roman"/>
          <w:sz w:val="24"/>
        </w:rPr>
        <w:t>Naknadna promjena natječajem odobrene institucije nije moguća.</w:t>
      </w:r>
      <w:r w:rsidRPr="00F9363D">
        <w:rPr>
          <w:rFonts w:ascii="Times New Roman" w:hAnsi="Times New Roman" w:cs="Times New Roman"/>
          <w:sz w:val="24"/>
        </w:rPr>
        <w:cr/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F9363D">
        <w:rPr>
          <w:rFonts w:ascii="Times New Roman" w:hAnsi="Times New Roman" w:cs="Times New Roman"/>
          <w:i/>
          <w:sz w:val="24"/>
          <w:u w:val="single"/>
        </w:rPr>
        <w:t>OSOBLJE BEZ FINANCIJSKE POTPORE</w:t>
      </w:r>
    </w:p>
    <w:p w:rsidR="008A6FB8" w:rsidRPr="00F9363D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Pr="00F9363D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F9363D">
        <w:rPr>
          <w:rFonts w:ascii="Times New Roman" w:hAnsi="Times New Roman" w:cs="Times New Roman"/>
          <w:sz w:val="24"/>
        </w:rPr>
        <w:t>Kandidat koji se prijavio na Natječaj, ali mu nije odobrena financijska potpora, može ostvariti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pravo na mobilnost o vlastitom trošku.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F9363D">
        <w:rPr>
          <w:rFonts w:ascii="Times New Roman" w:hAnsi="Times New Roman" w:cs="Times New Roman"/>
          <w:sz w:val="24"/>
        </w:rPr>
        <w:t>Na mobilnost bez financijske potpore primjenjuju se ista pravila kao i za mobilnost uz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F9363D">
        <w:rPr>
          <w:rFonts w:ascii="Times New Roman" w:hAnsi="Times New Roman" w:cs="Times New Roman"/>
          <w:sz w:val="24"/>
        </w:rPr>
        <w:t>financijsku potporu.</w:t>
      </w:r>
    </w:p>
    <w:p w:rsidR="008A6FB8" w:rsidRPr="00F9363D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Pr="00F9363D" w:rsidRDefault="008A6FB8" w:rsidP="008A6FB8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  <w:r w:rsidRPr="00F9363D">
        <w:rPr>
          <w:rFonts w:ascii="Times New Roman" w:hAnsi="Times New Roman" w:cs="Times New Roman"/>
          <w:i/>
          <w:sz w:val="24"/>
          <w:u w:val="single"/>
        </w:rPr>
        <w:t>ZABRANA DVOSTRUKOG FINANCIRANJA</w:t>
      </w:r>
    </w:p>
    <w:p w:rsidR="008A6FB8" w:rsidRPr="00F9363D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8A6FB8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F9363D">
        <w:rPr>
          <w:rFonts w:ascii="Times New Roman" w:hAnsi="Times New Roman" w:cs="Times New Roman"/>
          <w:sz w:val="24"/>
        </w:rPr>
        <w:t xml:space="preserve">Korisnik ne može dobiti financijsku potporu u sklopu programa </w:t>
      </w:r>
      <w:proofErr w:type="spellStart"/>
      <w:r w:rsidRPr="00F9363D">
        <w:rPr>
          <w:rFonts w:ascii="Times New Roman" w:hAnsi="Times New Roman" w:cs="Times New Roman"/>
          <w:sz w:val="24"/>
        </w:rPr>
        <w:t>Erasmus</w:t>
      </w:r>
      <w:proofErr w:type="spellEnd"/>
      <w:r w:rsidRPr="00F9363D">
        <w:rPr>
          <w:rFonts w:ascii="Times New Roman" w:hAnsi="Times New Roman" w:cs="Times New Roman"/>
          <w:sz w:val="24"/>
        </w:rPr>
        <w:t>+ ukoliko je njegova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mobilnost dodatno financirana iz sredstava koja potječu iz Europske unije. Prijavom na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Natječaj, kandidati potpisuju izjavu o zabrani dvostrukog financiranja.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Pr="00B11BE3" w:rsidRDefault="008A6FB8" w:rsidP="008A6FB8">
      <w:pPr>
        <w:ind w:left="0" w:firstLine="0"/>
        <w:rPr>
          <w:rFonts w:ascii="Times New Roman" w:hAnsi="Times New Roman" w:cs="Times New Roman"/>
          <w:sz w:val="24"/>
          <w:u w:val="single"/>
        </w:rPr>
      </w:pPr>
      <w:r w:rsidRPr="00B11BE3">
        <w:rPr>
          <w:rFonts w:ascii="Times New Roman" w:hAnsi="Times New Roman" w:cs="Times New Roman"/>
          <w:sz w:val="24"/>
          <w:u w:val="single"/>
        </w:rPr>
        <w:t xml:space="preserve">OSOBLJE S MANJE MOGUĆNOSTI </w:t>
      </w:r>
    </w:p>
    <w:p w:rsidR="008A6FB8" w:rsidRPr="00B11BE3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Pr="008A6FB8" w:rsidRDefault="008A6FB8" w:rsidP="008A6FB8">
      <w:pPr>
        <w:spacing w:line="276" w:lineRule="auto"/>
        <w:ind w:left="0" w:firstLine="0"/>
        <w:rPr>
          <w:rFonts w:ascii="Times New Roman" w:hAnsi="Times New Roman" w:cs="Times New Roman"/>
          <w:sz w:val="32"/>
        </w:rPr>
      </w:pPr>
      <w:r w:rsidRPr="008A6FB8">
        <w:rPr>
          <w:rFonts w:ascii="Times New Roman" w:hAnsi="Times New Roman" w:cs="Times New Roman"/>
          <w:sz w:val="24"/>
        </w:rPr>
        <w:t xml:space="preserve">Potencijalni je sudionik osoba čije je osobno, fizičko, mentalno ili zdravstveno stanje takvo da njihovo sudjelovanje u projektu / aktivnosti mobilnosti ne bi bilo moguće bez dodatne financijske ili druge vrste potpore. Visoka učilišta koja su odabrala osoblje s manje mogućnosti mogu zatražiti dodatna bespovratna sredstva od Nacionalne agencije za pokrivanje dodatnih troškova njihova sudjelovanja u aktivnostima mobilnosti. Za osoblje s manje mogućnosti, potpora u obliku bespovratnih sredstava može biti viša od maksimalnih pojedinačnih iznosa bespovratnih sredstava. Osobe u pratnji osoblja s manje mogućnosti imaju pravo na doprinos na temelju stvarnih troškova. Prijavni obrazac za dodjelu dodatne financijske potpore za </w:t>
      </w:r>
      <w:proofErr w:type="spellStart"/>
      <w:r w:rsidRPr="008A6FB8">
        <w:rPr>
          <w:rFonts w:ascii="Times New Roman" w:hAnsi="Times New Roman" w:cs="Times New Roman"/>
          <w:sz w:val="24"/>
        </w:rPr>
        <w:t>uključivost</w:t>
      </w:r>
      <w:proofErr w:type="spellEnd"/>
      <w:r w:rsidRPr="008A6FB8">
        <w:rPr>
          <w:rFonts w:ascii="Times New Roman" w:hAnsi="Times New Roman" w:cs="Times New Roman"/>
          <w:sz w:val="24"/>
        </w:rPr>
        <w:t xml:space="preserve"> nalazi se u Vezanim dokumentima Natječaja.</w:t>
      </w:r>
    </w:p>
    <w:sectPr w:rsidR="008A6FB8" w:rsidRPr="008A6FB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743" w:rsidRDefault="00AC0743" w:rsidP="00497E09">
      <w:pPr>
        <w:spacing w:after="0" w:line="240" w:lineRule="auto"/>
      </w:pPr>
      <w:r>
        <w:separator/>
      </w:r>
    </w:p>
  </w:endnote>
  <w:endnote w:type="continuationSeparator" w:id="0">
    <w:p w:rsidR="00AC0743" w:rsidRDefault="00AC0743" w:rsidP="0049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743" w:rsidRDefault="00AC0743" w:rsidP="00497E09">
      <w:pPr>
        <w:spacing w:after="0" w:line="240" w:lineRule="auto"/>
      </w:pPr>
      <w:r>
        <w:separator/>
      </w:r>
    </w:p>
  </w:footnote>
  <w:footnote w:type="continuationSeparator" w:id="0">
    <w:p w:rsidR="00AC0743" w:rsidRDefault="00AC0743" w:rsidP="00497E09">
      <w:pPr>
        <w:spacing w:after="0" w:line="240" w:lineRule="auto"/>
      </w:pPr>
      <w:r>
        <w:continuationSeparator/>
      </w:r>
    </w:p>
  </w:footnote>
  <w:footnote w:id="1">
    <w:p w:rsidR="008A6FB8" w:rsidRPr="00BB2E53" w:rsidRDefault="008A6FB8" w:rsidP="008A6FB8">
      <w:pPr>
        <w:pStyle w:val="Tekstfusnote"/>
        <w:rPr>
          <w:rFonts w:ascii="Times New Roman" w:hAnsi="Times New Roman" w:cs="Times New Roman"/>
        </w:rPr>
      </w:pPr>
      <w:r w:rsidRPr="00BB2E53">
        <w:rPr>
          <w:rStyle w:val="Referencafusnote"/>
          <w:rFonts w:ascii="Times New Roman" w:hAnsi="Times New Roman" w:cs="Times New Roman"/>
        </w:rPr>
        <w:footnoteRef/>
      </w:r>
      <w:r w:rsidRPr="00BB2E53">
        <w:rPr>
          <w:rFonts w:ascii="Times New Roman" w:hAnsi="Times New Roman" w:cs="Times New Roman"/>
        </w:rPr>
        <w:t xml:space="preserve">  U programu </w:t>
      </w:r>
      <w:proofErr w:type="spellStart"/>
      <w:r w:rsidRPr="00BB2E53">
        <w:rPr>
          <w:rFonts w:ascii="Times New Roman" w:hAnsi="Times New Roman" w:cs="Times New Roman"/>
        </w:rPr>
        <w:t>Erasmus</w:t>
      </w:r>
      <w:proofErr w:type="spellEnd"/>
      <w:r w:rsidRPr="00BB2E53">
        <w:rPr>
          <w:rFonts w:ascii="Times New Roman" w:hAnsi="Times New Roman" w:cs="Times New Roman"/>
        </w:rPr>
        <w:t>+ konferencije više nisu prihvatljiva aktivnost. Za prihvatljivost aktivnosti, nije</w:t>
      </w:r>
    </w:p>
    <w:p w:rsidR="008A6FB8" w:rsidRPr="00BB2E53" w:rsidRDefault="008A6FB8" w:rsidP="008A6FB8">
      <w:pPr>
        <w:pStyle w:val="Tekstfusnote"/>
        <w:rPr>
          <w:rFonts w:ascii="Times New Roman" w:hAnsi="Times New Roman" w:cs="Times New Roman"/>
        </w:rPr>
      </w:pPr>
      <w:r w:rsidRPr="00BB2E53">
        <w:rPr>
          <w:rFonts w:ascii="Times New Roman" w:hAnsi="Times New Roman" w:cs="Times New Roman"/>
        </w:rPr>
        <w:t>bitna uloga osobe (govornik ili ne), već cilj samog događaja. Cilj je učenje novih i inovativnih metoda</w:t>
      </w:r>
    </w:p>
    <w:p w:rsidR="008A6FB8" w:rsidRPr="00BB2E53" w:rsidRDefault="008A6FB8" w:rsidP="008A6FB8">
      <w:pPr>
        <w:pStyle w:val="Tekstfusnote"/>
        <w:rPr>
          <w:rFonts w:ascii="Times New Roman" w:hAnsi="Times New Roman" w:cs="Times New Roman"/>
        </w:rPr>
      </w:pPr>
      <w:r w:rsidRPr="00BB2E53">
        <w:rPr>
          <w:rFonts w:ascii="Times New Roman" w:hAnsi="Times New Roman" w:cs="Times New Roman"/>
        </w:rPr>
        <w:t>učenja i podučavanja, stoga konferencija ili bilo koji drugi oblici aktivnosti usmjereni na specifično</w:t>
      </w:r>
    </w:p>
    <w:p w:rsidR="008A6FB8" w:rsidRDefault="008A6FB8" w:rsidP="008A6FB8">
      <w:pPr>
        <w:pStyle w:val="Tekstfusnote"/>
      </w:pPr>
      <w:r w:rsidRPr="00BB2E53">
        <w:rPr>
          <w:rFonts w:ascii="Times New Roman" w:hAnsi="Times New Roman" w:cs="Times New Roman"/>
        </w:rPr>
        <w:t>područje nisu prihvatljivi.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2202"/>
      <w:gridCol w:w="2810"/>
      <w:gridCol w:w="2118"/>
    </w:tblGrid>
    <w:tr w:rsidR="00132797" w:rsidRPr="00843658" w:rsidTr="007F3ED7">
      <w:trPr>
        <w:trHeight w:val="1655"/>
        <w:jc w:val="center"/>
      </w:trPr>
      <w:tc>
        <w:tcPr>
          <w:tcW w:w="1716" w:type="dxa"/>
          <w:shd w:val="clear" w:color="auto" w:fill="auto"/>
        </w:tcPr>
        <w:p w:rsidR="003D04C6" w:rsidRPr="00843658" w:rsidRDefault="00DD7B59" w:rsidP="003D04C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bidi="en-US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  <w:lang w:bidi="en-US"/>
            </w:rPr>
            <w:drawing>
              <wp:inline distT="0" distB="0" distL="0" distR="0" wp14:anchorId="60B97113">
                <wp:extent cx="1067175" cy="1057275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621" cy="10923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5" w:type="dxa"/>
          <w:shd w:val="clear" w:color="auto" w:fill="auto"/>
        </w:tcPr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3D04C6" w:rsidRPr="00843658" w:rsidRDefault="00DD7B59" w:rsidP="003D04C6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Veleučilište Arca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proofErr w:type="spellStart"/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Kopilica</w:t>
          </w:r>
          <w:proofErr w:type="spellEnd"/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 xml:space="preserve"> 5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21000, Split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6"/>
              <w:szCs w:val="16"/>
              <w:lang w:bidi="en-US"/>
            </w:rPr>
          </w:pPr>
        </w:p>
      </w:tc>
      <w:tc>
        <w:tcPr>
          <w:tcW w:w="2813" w:type="dxa"/>
          <w:shd w:val="clear" w:color="auto" w:fill="auto"/>
        </w:tcPr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Tel: +385 </w:t>
          </w:r>
          <w:r w:rsidR="00F74DB2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97 620 4677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Web: www.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visokaskolaarca.hr</w:t>
          </w:r>
        </w:p>
        <w:p w:rsidR="003D04C6" w:rsidRPr="00132797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proofErr w:type="spellStart"/>
          <w:r w:rsidRPr="00132797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Email:</w:t>
          </w:r>
          <w:r w:rsidR="00DD7B59" w:rsidRPr="00132797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referada</w:t>
          </w:r>
          <w:r w:rsidRPr="00132797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@visokaskolaarca.hr</w:t>
          </w:r>
          <w:proofErr w:type="spellEnd"/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OIB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:</w:t>
          </w: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 06755374111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MB: 2785722</w:t>
          </w:r>
        </w:p>
      </w:tc>
      <w:tc>
        <w:tcPr>
          <w:tcW w:w="2148" w:type="dxa"/>
        </w:tcPr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noProof/>
              <w:sz w:val="18"/>
              <w:szCs w:val="18"/>
            </w:rPr>
            <w:drawing>
              <wp:inline distT="0" distB="0" distL="0" distR="0" wp14:anchorId="58676A40" wp14:editId="1263F4E4">
                <wp:extent cx="1076325" cy="1028700"/>
                <wp:effectExtent l="19050" t="0" r="9525" b="0"/>
                <wp:docPr id="2" name="Slika 2" descr="ISO_9001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SO_9001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7E09" w:rsidRPr="00497E09" w:rsidRDefault="00497E09" w:rsidP="00497E0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965F9C"/>
    <w:multiLevelType w:val="hybridMultilevel"/>
    <w:tmpl w:val="F3AEF5EA"/>
    <w:lvl w:ilvl="0" w:tplc="8B98EF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22"/>
    <w:rsid w:val="00061CBE"/>
    <w:rsid w:val="00085695"/>
    <w:rsid w:val="00105C8A"/>
    <w:rsid w:val="00132797"/>
    <w:rsid w:val="001807A2"/>
    <w:rsid w:val="001E51C0"/>
    <w:rsid w:val="001F23DA"/>
    <w:rsid w:val="003D04C6"/>
    <w:rsid w:val="003D2D92"/>
    <w:rsid w:val="00410E53"/>
    <w:rsid w:val="00467022"/>
    <w:rsid w:val="00467DAD"/>
    <w:rsid w:val="00497E09"/>
    <w:rsid w:val="00577711"/>
    <w:rsid w:val="005F0D71"/>
    <w:rsid w:val="006C14BA"/>
    <w:rsid w:val="006E7BA0"/>
    <w:rsid w:val="00724144"/>
    <w:rsid w:val="008A6FB8"/>
    <w:rsid w:val="00907F07"/>
    <w:rsid w:val="00AB1E60"/>
    <w:rsid w:val="00AB2726"/>
    <w:rsid w:val="00AC0743"/>
    <w:rsid w:val="00B830BE"/>
    <w:rsid w:val="00C6661F"/>
    <w:rsid w:val="00D867B4"/>
    <w:rsid w:val="00DD1DCA"/>
    <w:rsid w:val="00DD7B59"/>
    <w:rsid w:val="00E21656"/>
    <w:rsid w:val="00E47223"/>
    <w:rsid w:val="00E7710E"/>
    <w:rsid w:val="00F7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D1907"/>
  <w15:chartTrackingRefBased/>
  <w15:docId w15:val="{2DFBB3E6-C468-4DE0-AC40-9BA95E92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FB8"/>
    <w:pPr>
      <w:spacing w:after="4" w:line="271" w:lineRule="auto"/>
      <w:ind w:left="10" w:hanging="10"/>
      <w:jc w:val="both"/>
    </w:pPr>
    <w:rPr>
      <w:rFonts w:ascii="Arial" w:eastAsia="Arial" w:hAnsi="Arial" w:cs="Arial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14BA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497E09"/>
    <w:pPr>
      <w:tabs>
        <w:tab w:val="center" w:pos="4513"/>
        <w:tab w:val="right" w:pos="9026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497E09"/>
  </w:style>
  <w:style w:type="paragraph" w:styleId="Podnoje">
    <w:name w:val="footer"/>
    <w:basedOn w:val="Normal"/>
    <w:link w:val="PodnojeChar"/>
    <w:uiPriority w:val="99"/>
    <w:unhideWhenUsed/>
    <w:rsid w:val="00497E09"/>
    <w:pPr>
      <w:tabs>
        <w:tab w:val="center" w:pos="4513"/>
        <w:tab w:val="right" w:pos="9026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497E09"/>
  </w:style>
  <w:style w:type="paragraph" w:customStyle="1" w:styleId="Default">
    <w:name w:val="Default"/>
    <w:rsid w:val="006E7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6E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867B4"/>
    <w:pPr>
      <w:spacing w:after="16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867B4"/>
    <w:rPr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D867B4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6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67B4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A6FB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A6FB8"/>
    <w:rPr>
      <w:rFonts w:ascii="Arial" w:eastAsia="Arial" w:hAnsi="Arial" w:cs="Arial"/>
      <w:color w:val="000000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8A6FB8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A6FB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A6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programmes/erasmus-plus/tools/distance_en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Predator</cp:lastModifiedBy>
  <cp:revision>2</cp:revision>
  <cp:lastPrinted>2022-01-10T07:55:00Z</cp:lastPrinted>
  <dcterms:created xsi:type="dcterms:W3CDTF">2023-07-24T11:42:00Z</dcterms:created>
  <dcterms:modified xsi:type="dcterms:W3CDTF">2023-07-24T11:42:00Z</dcterms:modified>
</cp:coreProperties>
</file>