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B4" w:rsidRPr="0008548B" w:rsidRDefault="003044EA" w:rsidP="003044EA">
      <w:pPr>
        <w:spacing w:after="200" w:line="276" w:lineRule="auto"/>
        <w:rPr>
          <w:rFonts w:ascii="Times New Roman" w:eastAsia="Calibri" w:hAnsi="Times New Roman" w:cs="Times New Roman"/>
          <w:sz w:val="24"/>
          <w:szCs w:val="24"/>
        </w:rPr>
      </w:pPr>
      <w:r w:rsidRPr="0008548B">
        <w:rPr>
          <w:rFonts w:ascii="Times New Roman" w:eastAsia="Calibri" w:hAnsi="Times New Roman" w:cs="Times New Roman"/>
          <w:sz w:val="24"/>
          <w:szCs w:val="24"/>
        </w:rPr>
        <w:t>KLASA:</w:t>
      </w:r>
      <w:r w:rsidR="004C2C2D">
        <w:rPr>
          <w:rFonts w:ascii="Times New Roman" w:eastAsia="Calibri" w:hAnsi="Times New Roman" w:cs="Times New Roman"/>
          <w:sz w:val="24"/>
          <w:szCs w:val="24"/>
        </w:rPr>
        <w:t xml:space="preserve"> </w:t>
      </w:r>
      <w:r w:rsidR="004C2C2D" w:rsidRPr="004C2C2D">
        <w:rPr>
          <w:rFonts w:ascii="Times New Roman" w:eastAsia="Calibri" w:hAnsi="Times New Roman" w:cs="Times New Roman"/>
          <w:sz w:val="24"/>
          <w:szCs w:val="24"/>
        </w:rPr>
        <w:t xml:space="preserve">011-01/23-01                                                                   </w:t>
      </w:r>
      <w:r w:rsidR="004C2C2D" w:rsidRPr="004C2C2D">
        <w:rPr>
          <w:rFonts w:ascii="Times New Roman" w:eastAsia="Calibri" w:hAnsi="Times New Roman" w:cs="Times New Roman"/>
          <w:sz w:val="24"/>
          <w:szCs w:val="24"/>
        </w:rPr>
        <w:tab/>
      </w:r>
    </w:p>
    <w:p w:rsidR="003044EA" w:rsidRPr="0008548B" w:rsidRDefault="003044EA" w:rsidP="003044EA">
      <w:pPr>
        <w:spacing w:after="200" w:line="276" w:lineRule="auto"/>
        <w:rPr>
          <w:rFonts w:ascii="Times New Roman" w:eastAsia="Calibri" w:hAnsi="Times New Roman" w:cs="Times New Roman"/>
          <w:sz w:val="24"/>
          <w:szCs w:val="24"/>
        </w:rPr>
      </w:pPr>
      <w:r w:rsidRPr="0008548B">
        <w:rPr>
          <w:rFonts w:ascii="Times New Roman" w:eastAsia="Calibri" w:hAnsi="Times New Roman" w:cs="Times New Roman"/>
          <w:sz w:val="24"/>
          <w:szCs w:val="24"/>
        </w:rPr>
        <w:t>URBROJ:</w:t>
      </w:r>
      <w:r w:rsidR="004C2C2D" w:rsidRPr="004C2C2D">
        <w:rPr>
          <w:rFonts w:ascii="Times New Roman" w:eastAsia="Calibri" w:hAnsi="Times New Roman" w:cs="Times New Roman"/>
          <w:sz w:val="24"/>
          <w:szCs w:val="24"/>
        </w:rPr>
        <w:t xml:space="preserve"> </w:t>
      </w:r>
      <w:r w:rsidR="004C2C2D" w:rsidRPr="004C2C2D">
        <w:rPr>
          <w:rFonts w:ascii="Times New Roman" w:eastAsia="Calibri" w:hAnsi="Times New Roman" w:cs="Times New Roman"/>
          <w:sz w:val="24"/>
          <w:szCs w:val="24"/>
        </w:rPr>
        <w:t>2181/1-244/23-01-063</w:t>
      </w:r>
    </w:p>
    <w:p w:rsidR="003044EA" w:rsidRPr="0008548B" w:rsidRDefault="003044EA" w:rsidP="003044EA">
      <w:pPr>
        <w:spacing w:after="200" w:line="276" w:lineRule="auto"/>
        <w:jc w:val="right"/>
        <w:rPr>
          <w:rFonts w:ascii="Times New Roman" w:eastAsia="Calibri" w:hAnsi="Times New Roman" w:cs="Times New Roman"/>
          <w:sz w:val="24"/>
          <w:szCs w:val="24"/>
        </w:rPr>
      </w:pPr>
      <w:r w:rsidRPr="0008548B">
        <w:rPr>
          <w:rFonts w:ascii="Times New Roman" w:hAnsi="Times New Roman" w:cs="Times New Roman"/>
          <w:noProof/>
        </w:rPr>
        <w:drawing>
          <wp:inline distT="0" distB="0" distL="0" distR="0">
            <wp:extent cx="22288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 xml:space="preserve">VELEUČILIŠTE ARCA </w:t>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dana 2</w:t>
      </w:r>
      <w:r w:rsidR="004C2C2D">
        <w:rPr>
          <w:rFonts w:ascii="Times New Roman" w:hAnsi="Times New Roman" w:cs="Times New Roman"/>
          <w:b/>
          <w:sz w:val="28"/>
          <w:szCs w:val="24"/>
        </w:rPr>
        <w:t>4. srpnja</w:t>
      </w:r>
      <w:r w:rsidRPr="0008548B">
        <w:rPr>
          <w:rFonts w:ascii="Times New Roman" w:hAnsi="Times New Roman" w:cs="Times New Roman"/>
          <w:b/>
          <w:sz w:val="28"/>
          <w:szCs w:val="24"/>
        </w:rPr>
        <w:t xml:space="preserve"> </w:t>
      </w:r>
      <w:bookmarkStart w:id="0" w:name="_GoBack"/>
      <w:bookmarkEnd w:id="0"/>
      <w:r w:rsidRPr="0008548B">
        <w:rPr>
          <w:rFonts w:ascii="Times New Roman" w:hAnsi="Times New Roman" w:cs="Times New Roman"/>
          <w:b/>
          <w:sz w:val="28"/>
          <w:szCs w:val="24"/>
        </w:rPr>
        <w:t>2023. godine raspisuje</w:t>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NATJEČAJ</w:t>
      </w:r>
    </w:p>
    <w:p w:rsidR="003044EA" w:rsidRPr="0008548B" w:rsidRDefault="0008548B" w:rsidP="003044EA">
      <w:pPr>
        <w:spacing w:line="276" w:lineRule="auto"/>
        <w:jc w:val="center"/>
        <w:rPr>
          <w:rFonts w:ascii="Times New Roman" w:hAnsi="Times New Roman" w:cs="Times New Roman"/>
          <w:b/>
          <w:sz w:val="32"/>
          <w:szCs w:val="24"/>
        </w:rPr>
      </w:pPr>
      <w:r w:rsidRPr="0008548B">
        <w:rPr>
          <w:rFonts w:ascii="Times New Roman" w:hAnsi="Times New Roman" w:cs="Times New Roman"/>
          <w:b/>
          <w:sz w:val="28"/>
        </w:rPr>
        <w:t xml:space="preserve">za mobilnost nastavnog i nenastavnog osoblja u okviru programa </w:t>
      </w:r>
      <w:proofErr w:type="spellStart"/>
      <w:r w:rsidRPr="0008548B">
        <w:rPr>
          <w:rFonts w:ascii="Times New Roman" w:hAnsi="Times New Roman" w:cs="Times New Roman"/>
          <w:b/>
          <w:sz w:val="28"/>
        </w:rPr>
        <w:t>Erasmus</w:t>
      </w:r>
      <w:proofErr w:type="spellEnd"/>
      <w:r w:rsidRPr="0008548B">
        <w:rPr>
          <w:rFonts w:ascii="Times New Roman" w:hAnsi="Times New Roman" w:cs="Times New Roman"/>
          <w:b/>
          <w:sz w:val="28"/>
        </w:rPr>
        <w:t>+ u Natječajnoj godini 2022.</w:t>
      </w:r>
    </w:p>
    <w:p w:rsidR="003044EA" w:rsidRPr="00B149C4" w:rsidRDefault="003044EA" w:rsidP="003044EA">
      <w:pPr>
        <w:spacing w:line="276" w:lineRule="auto"/>
        <w:rPr>
          <w:rFonts w:ascii="Times New Roman" w:hAnsi="Times New Roman" w:cs="Times New Roman"/>
          <w:b/>
          <w:sz w:val="24"/>
          <w:szCs w:val="24"/>
        </w:rPr>
      </w:pPr>
      <w:r w:rsidRPr="00B149C4">
        <w:rPr>
          <w:rFonts w:ascii="Times New Roman" w:hAnsi="Times New Roman" w:cs="Times New Roman"/>
          <w:b/>
          <w:sz w:val="24"/>
          <w:szCs w:val="24"/>
        </w:rPr>
        <w:t>OPĆI DIO</w:t>
      </w:r>
    </w:p>
    <w:p w:rsidR="003044EA" w:rsidRPr="00B149C4" w:rsidRDefault="003044EA" w:rsidP="003044EA">
      <w:pPr>
        <w:spacing w:line="276" w:lineRule="auto"/>
        <w:rPr>
          <w:rFonts w:ascii="Times New Roman" w:hAnsi="Times New Roman" w:cs="Times New Roman"/>
          <w:sz w:val="24"/>
          <w:szCs w:val="24"/>
        </w:rPr>
      </w:pPr>
    </w:p>
    <w:p w:rsidR="003044EA" w:rsidRPr="00B149C4" w:rsidRDefault="003044EA" w:rsidP="0008548B">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Veleučilište Arca ima pravo sudjelovanja u programu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(2021.-2027.), budući da joj  je dodijeljena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povelja za visoko obrazovanje (ECHE 2021.- 2027.) i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ID </w:t>
      </w:r>
      <w:proofErr w:type="spellStart"/>
      <w:r w:rsidRPr="00B149C4">
        <w:rPr>
          <w:rFonts w:ascii="Times New Roman" w:hAnsi="Times New Roman" w:cs="Times New Roman"/>
          <w:sz w:val="24"/>
          <w:szCs w:val="24"/>
        </w:rPr>
        <w:t>Code</w:t>
      </w:r>
      <w:proofErr w:type="spellEnd"/>
      <w:r w:rsidRPr="00B149C4">
        <w:rPr>
          <w:rFonts w:ascii="Times New Roman" w:hAnsi="Times New Roman" w:cs="Times New Roman"/>
          <w:sz w:val="24"/>
          <w:szCs w:val="24"/>
        </w:rPr>
        <w:t xml:space="preserve"> HR SPLIT04. Temeljem Povelje Veleučilištu Arca omogućava se upućivanje nastavnog i nenastavnog osoblja u inozemstvo u svrhu podučavanja (za nastavno osoblje) i osposobljavanja (za nastavno i nenastavno osoblje)</w:t>
      </w:r>
      <w:r w:rsidR="0008548B" w:rsidRPr="00B149C4">
        <w:rPr>
          <w:rFonts w:ascii="Times New Roman" w:hAnsi="Times New Roman" w:cs="Times New Roman"/>
          <w:sz w:val="24"/>
          <w:szCs w:val="24"/>
        </w:rPr>
        <w:t xml:space="preserve"> </w:t>
      </w:r>
      <w:r w:rsidRP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i kombinirane aktivnosti poučavanja i osposobljavanja (za nastavno osoblje), te poučavanja za neakademsko pozvano osoblje iz tvrtki.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Izrazi koji se koriste u ovom Natječaju a imaju rodno značenje koriste se neutralno i odnose se jednako na muški i ženski rod.</w:t>
      </w:r>
    </w:p>
    <w:p w:rsidR="0008548B" w:rsidRPr="00B149C4" w:rsidRDefault="0008548B"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Natječajna godina 2022. odnosi se na razdoblje do 30.7.2024., a u okviru projekta odobrenog od strane Agencije za mobilnost i programe EU u 2022. godini. </w:t>
      </w:r>
    </w:p>
    <w:p w:rsidR="003044EA" w:rsidRPr="00B149C4" w:rsidRDefault="00B149C4"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Projekti u okviru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snažno uporište imaju u strateškoj viziji i strateškoj usmjerenosti ustanova. Ustanove trebaju procijeniti koje mobilnosti u određenom trenutku prate strateško usmjerenje te koje mobilnosti su u tom trenutku važnije za ustanovu.</w:t>
      </w:r>
      <w:r w:rsidR="003044EA" w:rsidRPr="00B149C4">
        <w:rPr>
          <w:rFonts w:ascii="Times New Roman" w:hAnsi="Times New Roman" w:cs="Times New Roman"/>
          <w:sz w:val="24"/>
          <w:szCs w:val="24"/>
        </w:rPr>
        <w:t>.</w:t>
      </w:r>
      <w:r w:rsidR="003044EA" w:rsidRPr="00B149C4">
        <w:rPr>
          <w:rFonts w:ascii="Times New Roman" w:hAnsi="Times New Roman" w:cs="Times New Roman"/>
          <w:sz w:val="24"/>
          <w:szCs w:val="24"/>
        </w:rPr>
        <w:cr/>
      </w:r>
    </w:p>
    <w:p w:rsidR="003044EA" w:rsidRPr="00B149C4" w:rsidRDefault="003044EA" w:rsidP="003044EA">
      <w:pPr>
        <w:spacing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TRAJANJE NATJEČAJA </w:t>
      </w:r>
    </w:p>
    <w:p w:rsidR="0008548B" w:rsidRPr="00B149C4" w:rsidRDefault="0008548B"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Sve mobilnosti u okviru programa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u natječajnoj godini 2022. mogu se ostvariti zaključno s 30.7.2024., a najranije 2 mjeseca od podnošenja prijave za mobilnost te nakon objave Odluke o odabiru kandidata. </w:t>
      </w:r>
    </w:p>
    <w:p w:rsidR="003044EA" w:rsidRPr="00B149C4" w:rsidRDefault="0008548B"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lastRenderedPageBreak/>
        <w:t>Ukoliko dođe do produženja projekta nakon navedenog datuma, izmjene ugovorene između Agencije za mobilnosti i programe EU i Sveučilišta u Splitu će se odnositi i na ovaj natječaj.</w:t>
      </w:r>
    </w:p>
    <w:p w:rsidR="003044EA" w:rsidRPr="00B149C4" w:rsidRDefault="003044EA" w:rsidP="003044EA">
      <w:pPr>
        <w:spacing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MOGUĆNOST PRIJAVE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Na Natječaj se mogu prijaviti zaposlenici Veleučilišta Arca (nastavno i nenastavno osoblje), kao i vanjski suradnici Veleučilišta Arca angažirani temeljem Ugovora o djelu, a čiji ugovori su na snazi za vrijeme trajanja mobilnosti. Ako se radi o vanjskim suradnicima koji su zaposleni na drugim ustanovama koje imaju pravo sudjelovanja u programu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na mobilnost se mogu prijaviti isključivo na matičnoj ustanovi zaposlenja.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Prijaviti se mogu osobe koje imaju hrvatsko državljanstvo ili državljanstvo neke druge države sudionice Programa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(države članice EU, Island, Lihtenštajn, Norveška, Makedonija i Turska), odnosno status izbjeglice, osobe bez državljanstva ili osobe s prijavljenim boravištem u Republici Hrvatskoj.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mobilnost u svrhu podučavanja može se prijaviti nastavno osoblje, tj. osobe koje ispunjavanju kriterije za izbor na znanstveno-nastavno, umjetničko-nastavno, nastavno, suradničko i stručno radno mjesto.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mobilnost u svrhu osposobljavanja može se prijaviti nastavno i nenastavno osoblje.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Kandidat može podnijeti samo jednu prijavu mjesečno, bilo u svrhu podučavanja ili u svrhu osposobljavanja. </w:t>
      </w:r>
    </w:p>
    <w:p w:rsidR="0008548B" w:rsidRPr="00B149C4" w:rsidRDefault="0008548B" w:rsidP="0008548B">
      <w:pPr>
        <w:spacing w:line="276" w:lineRule="auto"/>
        <w:jc w:val="both"/>
        <w:rPr>
          <w:rFonts w:ascii="Times New Roman" w:hAnsi="Times New Roman" w:cs="Times New Roman"/>
          <w:i/>
          <w:sz w:val="24"/>
          <w:szCs w:val="24"/>
        </w:rPr>
      </w:pPr>
      <w:r w:rsidRPr="00B149C4">
        <w:rPr>
          <w:rFonts w:ascii="Times New Roman" w:hAnsi="Times New Roman" w:cs="Times New Roman"/>
          <w:i/>
          <w:sz w:val="24"/>
          <w:szCs w:val="24"/>
        </w:rPr>
        <w:t>Kombiniranu mobilnost podučavanje/osposobljavanje može prijaviti nastavno osoblje. U slučaju prijave kombinirane mobilnosti, broj obveznih sati koje je potrebno održati na prihvatnoj ustanovi smanjuje se na 4 sata tjedno, a naglasak je na razvijanju pedagoških vještina i vještina stvaranja kurikuluma što treba obrazložiti u prijavi.</w:t>
      </w:r>
    </w:p>
    <w:p w:rsidR="003044EA" w:rsidRPr="00B149C4" w:rsidRDefault="003044EA" w:rsidP="003044EA">
      <w:pPr>
        <w:spacing w:line="276" w:lineRule="auto"/>
        <w:jc w:val="both"/>
        <w:rPr>
          <w:rFonts w:ascii="Times New Roman" w:hAnsi="Times New Roman" w:cs="Times New Roman"/>
          <w:i/>
          <w:sz w:val="24"/>
          <w:szCs w:val="24"/>
        </w:rPr>
      </w:pPr>
      <w:r w:rsidRPr="00B149C4">
        <w:rPr>
          <w:rFonts w:ascii="Times New Roman" w:hAnsi="Times New Roman" w:cs="Times New Roman"/>
          <w:i/>
          <w:sz w:val="24"/>
          <w:szCs w:val="24"/>
        </w:rPr>
        <w:t xml:space="preserve">Nastavno i nenastavno osoblje u istoj natječajnoj godini (2022.) može iskoristiti najviše četiri mobilnosti u okviru </w:t>
      </w:r>
      <w:proofErr w:type="spellStart"/>
      <w:r w:rsidRPr="00B149C4">
        <w:rPr>
          <w:rFonts w:ascii="Times New Roman" w:hAnsi="Times New Roman" w:cs="Times New Roman"/>
          <w:i/>
          <w:sz w:val="24"/>
          <w:szCs w:val="24"/>
        </w:rPr>
        <w:t>Erasmus</w:t>
      </w:r>
      <w:proofErr w:type="spellEnd"/>
      <w:r w:rsidRPr="00B149C4">
        <w:rPr>
          <w:rFonts w:ascii="Times New Roman" w:hAnsi="Times New Roman" w:cs="Times New Roman"/>
          <w:i/>
          <w:sz w:val="24"/>
          <w:szCs w:val="24"/>
        </w:rPr>
        <w:t xml:space="preserve">+ programa (dvije mobilnosti u okviru Suradnje među programskim državama (KA131), jednu u okviru Suradnje između programskih i partnerskih država (KA171) te jednu u okviru Suradnje među programskim državama (KA131), International </w:t>
      </w:r>
      <w:proofErr w:type="spellStart"/>
      <w:r w:rsidRPr="00B149C4">
        <w:rPr>
          <w:rFonts w:ascii="Times New Roman" w:hAnsi="Times New Roman" w:cs="Times New Roman"/>
          <w:i/>
          <w:sz w:val="24"/>
          <w:szCs w:val="24"/>
        </w:rPr>
        <w:t>Opening</w:t>
      </w:r>
      <w:proofErr w:type="spellEnd"/>
      <w:r w:rsidRPr="00B149C4">
        <w:rPr>
          <w:rFonts w:ascii="Times New Roman" w:hAnsi="Times New Roman" w:cs="Times New Roman"/>
          <w:i/>
          <w:sz w:val="24"/>
          <w:szCs w:val="24"/>
        </w:rPr>
        <w:t xml:space="preserve"> sheme). Od ovog pravila isključuju se članovi uprava te </w:t>
      </w:r>
      <w:proofErr w:type="spellStart"/>
      <w:r w:rsidRPr="00B149C4">
        <w:rPr>
          <w:rFonts w:ascii="Times New Roman" w:hAnsi="Times New Roman" w:cs="Times New Roman"/>
          <w:i/>
          <w:sz w:val="24"/>
          <w:szCs w:val="24"/>
        </w:rPr>
        <w:t>Erasmus</w:t>
      </w:r>
      <w:proofErr w:type="spellEnd"/>
      <w:r w:rsidRPr="00B149C4">
        <w:rPr>
          <w:rFonts w:ascii="Times New Roman" w:hAnsi="Times New Roman" w:cs="Times New Roman"/>
          <w:i/>
          <w:sz w:val="24"/>
          <w:szCs w:val="24"/>
        </w:rPr>
        <w:t xml:space="preserve"> koordinatori i ECTS povjerenici za mobilnosti ostvarene u okviru aktivnosti SEA-EU alijanse. </w:t>
      </w:r>
    </w:p>
    <w:p w:rsidR="003044EA" w:rsidRDefault="0008548B" w:rsidP="00B149C4">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Osoblje mora aktivnost fizičke mobilnosti obavljati u zemlji sudionici programa ili partnerskoj zemlji koja nije zemlja organizacije pošiljateljice ni zemlja boravišta osoblja</w:t>
      </w:r>
      <w:r w:rsidR="00B149C4">
        <w:rPr>
          <w:rFonts w:ascii="Times New Roman" w:hAnsi="Times New Roman" w:cs="Times New Roman"/>
          <w:sz w:val="24"/>
          <w:szCs w:val="24"/>
        </w:rPr>
        <w:t>.</w:t>
      </w:r>
    </w:p>
    <w:p w:rsidR="00B149C4" w:rsidRDefault="00B149C4" w:rsidP="003044EA">
      <w:pPr>
        <w:spacing w:after="200" w:line="276" w:lineRule="auto"/>
        <w:rPr>
          <w:rFonts w:ascii="Times New Roman" w:eastAsia="Calibri" w:hAnsi="Times New Roman" w:cs="Times New Roman"/>
          <w:sz w:val="24"/>
          <w:szCs w:val="24"/>
        </w:rPr>
      </w:pPr>
    </w:p>
    <w:p w:rsidR="00B149C4" w:rsidRDefault="00B149C4" w:rsidP="003044EA">
      <w:pPr>
        <w:spacing w:after="200" w:line="276" w:lineRule="auto"/>
        <w:rPr>
          <w:rFonts w:ascii="Times New Roman" w:eastAsia="Calibri" w:hAnsi="Times New Roman" w:cs="Times New Roman"/>
          <w:sz w:val="24"/>
          <w:szCs w:val="24"/>
        </w:rPr>
      </w:pPr>
    </w:p>
    <w:p w:rsidR="00B149C4" w:rsidRPr="00B149C4" w:rsidRDefault="00B149C4" w:rsidP="003044EA">
      <w:pPr>
        <w:spacing w:after="200" w:line="276" w:lineRule="auto"/>
        <w:rPr>
          <w:rFonts w:ascii="Times New Roman" w:eastAsia="Calibri" w:hAnsi="Times New Roman" w:cs="Times New Roman"/>
          <w:sz w:val="24"/>
          <w:szCs w:val="24"/>
        </w:rPr>
      </w:pPr>
    </w:p>
    <w:p w:rsidR="0008548B" w:rsidRPr="00B149C4" w:rsidRDefault="0008548B"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lastRenderedPageBreak/>
        <w:t xml:space="preserve">PROGRAMSKE DRŽAVE </w:t>
      </w:r>
    </w:p>
    <w:p w:rsidR="00273E4B"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programu moguća je mobilnost prema programskim državama: države članice EU, Sjeverna Makedonija, Island, Lihtenštajn, Norveška, Turska, Srbija, osim Švicarske.</w:t>
      </w:r>
    </w:p>
    <w:p w:rsidR="003044EA" w:rsidRPr="00B149C4" w:rsidRDefault="003044EA"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NATJEČAJNA DOKUMENTACIJA</w:t>
      </w:r>
    </w:p>
    <w:p w:rsidR="003044EA" w:rsidRPr="00B149C4" w:rsidRDefault="003044EA"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1. Popunjen i potpisan Prijavni obrazac za osoblje (</w:t>
      </w:r>
      <w:proofErr w:type="spellStart"/>
      <w:r w:rsidRPr="00B149C4">
        <w:rPr>
          <w:rFonts w:ascii="Times New Roman" w:hAnsi="Times New Roman" w:cs="Times New Roman"/>
          <w:sz w:val="24"/>
          <w:szCs w:val="24"/>
        </w:rPr>
        <w:t>Application</w:t>
      </w:r>
      <w:proofErr w:type="spellEnd"/>
      <w:r w:rsidRPr="00B149C4">
        <w:rPr>
          <w:rFonts w:ascii="Times New Roman" w:hAnsi="Times New Roman" w:cs="Times New Roman"/>
          <w:sz w:val="24"/>
          <w:szCs w:val="24"/>
        </w:rPr>
        <w:t xml:space="preserve"> </w:t>
      </w:r>
      <w:proofErr w:type="spellStart"/>
      <w:r w:rsidRPr="00B149C4">
        <w:rPr>
          <w:rFonts w:ascii="Times New Roman" w:hAnsi="Times New Roman" w:cs="Times New Roman"/>
          <w:sz w:val="24"/>
          <w:szCs w:val="24"/>
        </w:rPr>
        <w:t>Form</w:t>
      </w:r>
      <w:proofErr w:type="spellEnd"/>
      <w:r w:rsidRPr="00B149C4">
        <w:rPr>
          <w:rFonts w:ascii="Times New Roman" w:hAnsi="Times New Roman" w:cs="Times New Roman"/>
          <w:sz w:val="24"/>
          <w:szCs w:val="24"/>
        </w:rPr>
        <w:t>)</w:t>
      </w:r>
    </w:p>
    <w:p w:rsidR="003044EA"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2</w:t>
      </w:r>
      <w:r w:rsidR="003044EA" w:rsidRPr="00B149C4">
        <w:rPr>
          <w:rFonts w:ascii="Times New Roman" w:hAnsi="Times New Roman" w:cs="Times New Roman"/>
          <w:sz w:val="24"/>
          <w:szCs w:val="24"/>
        </w:rPr>
        <w:t>. Životopis na engleskom jeziku (</w:t>
      </w:r>
      <w:proofErr w:type="spellStart"/>
      <w:r w:rsidR="003044EA" w:rsidRPr="00B149C4">
        <w:rPr>
          <w:rFonts w:ascii="Times New Roman" w:hAnsi="Times New Roman" w:cs="Times New Roman"/>
          <w:sz w:val="24"/>
          <w:szCs w:val="24"/>
        </w:rPr>
        <w:t>Europass</w:t>
      </w:r>
      <w:proofErr w:type="spellEnd"/>
      <w:r w:rsidR="003044EA" w:rsidRPr="00B149C4">
        <w:rPr>
          <w:rFonts w:ascii="Times New Roman" w:hAnsi="Times New Roman" w:cs="Times New Roman"/>
          <w:sz w:val="24"/>
          <w:szCs w:val="24"/>
        </w:rPr>
        <w:t xml:space="preserve"> CV obrazac)</w:t>
      </w:r>
    </w:p>
    <w:p w:rsidR="003044EA"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3</w:t>
      </w:r>
      <w:r w:rsidR="003044EA" w:rsidRPr="00B149C4">
        <w:rPr>
          <w:rFonts w:ascii="Times New Roman" w:hAnsi="Times New Roman" w:cs="Times New Roman"/>
          <w:sz w:val="24"/>
          <w:szCs w:val="24"/>
        </w:rPr>
        <w:t>. Motivacijsko pismo (do 300 riječi), vlastoručno potpisano</w:t>
      </w:r>
    </w:p>
    <w:p w:rsid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4. Sporazum o mobilnosti osoblja za nastavno osoblje u svrhu poučavanja (</w:t>
      </w:r>
      <w:proofErr w:type="spellStart"/>
      <w:r w:rsidRPr="00B149C4">
        <w:rPr>
          <w:rFonts w:ascii="Times New Roman" w:hAnsi="Times New Roman" w:cs="Times New Roman"/>
          <w:sz w:val="24"/>
          <w:szCs w:val="24"/>
        </w:rPr>
        <w:t>Teaching</w:t>
      </w:r>
      <w:proofErr w:type="spellEnd"/>
      <w:r w:rsidRPr="00B149C4">
        <w:rPr>
          <w:rFonts w:ascii="Times New Roman" w:hAnsi="Times New Roman" w:cs="Times New Roman"/>
          <w:sz w:val="24"/>
          <w:szCs w:val="24"/>
        </w:rPr>
        <w:t xml:space="preserve"> </w:t>
      </w:r>
      <w:proofErr w:type="spellStart"/>
      <w:r w:rsidRPr="00B149C4">
        <w:rPr>
          <w:rFonts w:ascii="Times New Roman" w:hAnsi="Times New Roman" w:cs="Times New Roman"/>
          <w:sz w:val="24"/>
          <w:szCs w:val="24"/>
        </w:rPr>
        <w:t>Agreement</w:t>
      </w:r>
      <w:proofErr w:type="spellEnd"/>
      <w:r w:rsidRPr="00B149C4">
        <w:rPr>
          <w:rFonts w:ascii="Times New Roman" w:hAnsi="Times New Roman" w:cs="Times New Roman"/>
          <w:sz w:val="24"/>
          <w:szCs w:val="24"/>
        </w:rPr>
        <w:t xml:space="preserve">), odnosno Sporazum o mobilnosti osoblja za nastavno i nenastavno osoblje u svrhu osposobljavanja (Training </w:t>
      </w:r>
      <w:proofErr w:type="spellStart"/>
      <w:r w:rsidRPr="00B149C4">
        <w:rPr>
          <w:rFonts w:ascii="Times New Roman" w:hAnsi="Times New Roman" w:cs="Times New Roman"/>
          <w:sz w:val="24"/>
          <w:szCs w:val="24"/>
        </w:rPr>
        <w:t>Agreement</w:t>
      </w:r>
      <w:proofErr w:type="spellEnd"/>
      <w:r w:rsidRPr="00B149C4">
        <w:rPr>
          <w:rFonts w:ascii="Times New Roman" w:hAnsi="Times New Roman" w:cs="Times New Roman"/>
          <w:sz w:val="24"/>
          <w:szCs w:val="24"/>
        </w:rPr>
        <w:t xml:space="preserve">), potpisan i ovjeren od strane čelnika matične ustanove i ovlaštene osobe prihvatne ustanove (za potrebu prijave na Natječaj prihvatljiv je i </w:t>
      </w:r>
      <w:proofErr w:type="spellStart"/>
      <w:r w:rsidRPr="00B149C4">
        <w:rPr>
          <w:rFonts w:ascii="Times New Roman" w:hAnsi="Times New Roman" w:cs="Times New Roman"/>
          <w:sz w:val="24"/>
          <w:szCs w:val="24"/>
        </w:rPr>
        <w:t>scan</w:t>
      </w:r>
      <w:proofErr w:type="spellEnd"/>
      <w:r w:rsidRPr="00B149C4">
        <w:rPr>
          <w:rFonts w:ascii="Times New Roman" w:hAnsi="Times New Roman" w:cs="Times New Roman"/>
          <w:sz w:val="24"/>
          <w:szCs w:val="24"/>
        </w:rPr>
        <w:t xml:space="preserve">/preslika originalnog dokumenta, potpisanog od strane obje ustanove i kandidata) </w:t>
      </w:r>
    </w:p>
    <w:p w:rsid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5. Privola za objavu/slanje osobnih podataka </w:t>
      </w:r>
    </w:p>
    <w:p w:rsidR="00273E4B" w:rsidRPr="00B149C4" w:rsidRDefault="0008548B"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sz w:val="24"/>
          <w:szCs w:val="24"/>
        </w:rPr>
        <w:t>6. Prijavni obrazac za osobe s posebnim potrebama</w:t>
      </w:r>
    </w:p>
    <w:p w:rsidR="003044EA" w:rsidRPr="00B149C4" w:rsidRDefault="003044EA"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PRIJAVA NA NATJEČAJ</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Prijava na Natječaj podnosi se osobno na adresu:</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Veleučilište Arca</w:t>
      </w:r>
    </w:p>
    <w:p w:rsidR="003044EA" w:rsidRPr="00B149C4" w:rsidRDefault="003044EA" w:rsidP="00273E4B">
      <w:pPr>
        <w:spacing w:after="0" w:line="240" w:lineRule="auto"/>
        <w:jc w:val="both"/>
        <w:rPr>
          <w:rFonts w:ascii="Times New Roman" w:hAnsi="Times New Roman" w:cs="Times New Roman"/>
          <w:sz w:val="24"/>
          <w:szCs w:val="24"/>
        </w:rPr>
      </w:pPr>
      <w:proofErr w:type="spellStart"/>
      <w:r w:rsidRPr="00B149C4">
        <w:rPr>
          <w:rFonts w:ascii="Times New Roman" w:hAnsi="Times New Roman" w:cs="Times New Roman"/>
          <w:sz w:val="24"/>
          <w:szCs w:val="24"/>
        </w:rPr>
        <w:t>Kopilica</w:t>
      </w:r>
      <w:proofErr w:type="spellEnd"/>
      <w:r w:rsidRPr="00B149C4">
        <w:rPr>
          <w:rFonts w:ascii="Times New Roman" w:hAnsi="Times New Roman" w:cs="Times New Roman"/>
          <w:sz w:val="24"/>
          <w:szCs w:val="24"/>
        </w:rPr>
        <w:t xml:space="preserve"> 5, 21000 Split</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Ured za međunarodnu suradnju</w:t>
      </w:r>
    </w:p>
    <w:p w:rsidR="00273E4B" w:rsidRPr="00B149C4" w:rsidRDefault="00273E4B" w:rsidP="00273E4B">
      <w:pPr>
        <w:spacing w:after="0" w:line="240" w:lineRule="auto"/>
        <w:jc w:val="both"/>
        <w:rPr>
          <w:rFonts w:ascii="Times New Roman" w:hAnsi="Times New Roman" w:cs="Times New Roman"/>
          <w:sz w:val="24"/>
          <w:szCs w:val="24"/>
        </w:rPr>
      </w:pP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ili preporučenom poštom na adresu:</w:t>
      </w:r>
    </w:p>
    <w:p w:rsidR="00273E4B" w:rsidRPr="00B149C4" w:rsidRDefault="00273E4B" w:rsidP="00273E4B">
      <w:pPr>
        <w:spacing w:after="0" w:line="240" w:lineRule="auto"/>
        <w:jc w:val="both"/>
        <w:rPr>
          <w:rFonts w:ascii="Times New Roman" w:hAnsi="Times New Roman" w:cs="Times New Roman"/>
          <w:sz w:val="24"/>
          <w:szCs w:val="24"/>
        </w:rPr>
      </w:pP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Veleučilište Arca</w:t>
      </w:r>
    </w:p>
    <w:p w:rsidR="003044EA" w:rsidRPr="00B149C4" w:rsidRDefault="003044EA" w:rsidP="00273E4B">
      <w:pPr>
        <w:spacing w:after="0" w:line="240" w:lineRule="auto"/>
        <w:jc w:val="both"/>
        <w:rPr>
          <w:rFonts w:ascii="Times New Roman" w:hAnsi="Times New Roman" w:cs="Times New Roman"/>
          <w:sz w:val="24"/>
          <w:szCs w:val="24"/>
        </w:rPr>
      </w:pPr>
      <w:proofErr w:type="spellStart"/>
      <w:r w:rsidRPr="00B149C4">
        <w:rPr>
          <w:rFonts w:ascii="Times New Roman" w:hAnsi="Times New Roman" w:cs="Times New Roman"/>
          <w:sz w:val="24"/>
          <w:szCs w:val="24"/>
        </w:rPr>
        <w:t>Kopilica</w:t>
      </w:r>
      <w:proofErr w:type="spellEnd"/>
      <w:r w:rsidRPr="00B149C4">
        <w:rPr>
          <w:rFonts w:ascii="Times New Roman" w:hAnsi="Times New Roman" w:cs="Times New Roman"/>
          <w:sz w:val="24"/>
          <w:szCs w:val="24"/>
        </w:rPr>
        <w:t xml:space="preserve"> 5, 21000 Split</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Ured za međunarodnu suradnju</w:t>
      </w:r>
    </w:p>
    <w:p w:rsidR="00273E4B" w:rsidRPr="00B149C4" w:rsidRDefault="00273E4B" w:rsidP="00273E4B">
      <w:pPr>
        <w:spacing w:after="0" w:line="240" w:lineRule="auto"/>
        <w:jc w:val="both"/>
        <w:rPr>
          <w:rFonts w:ascii="Times New Roman" w:hAnsi="Times New Roman" w:cs="Times New Roman"/>
          <w:sz w:val="24"/>
          <w:szCs w:val="24"/>
        </w:rPr>
      </w:pPr>
    </w:p>
    <w:p w:rsidR="00273E4B" w:rsidRPr="00B149C4" w:rsidRDefault="003044EA" w:rsidP="00B149C4">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s </w:t>
      </w:r>
      <w:r w:rsidR="0008548B" w:rsidRPr="00B149C4">
        <w:rPr>
          <w:rFonts w:ascii="Times New Roman" w:hAnsi="Times New Roman" w:cs="Times New Roman"/>
          <w:sz w:val="24"/>
          <w:szCs w:val="24"/>
        </w:rPr>
        <w:t>''Natječaj za mobilnost nastavnog i nenastavnog osoblja u</w:t>
      </w:r>
      <w:r w:rsid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okviru programa </w:t>
      </w:r>
      <w:proofErr w:type="spellStart"/>
      <w:r w:rsidR="0008548B" w:rsidRPr="00B149C4">
        <w:rPr>
          <w:rFonts w:ascii="Times New Roman" w:hAnsi="Times New Roman" w:cs="Times New Roman"/>
          <w:sz w:val="24"/>
          <w:szCs w:val="24"/>
        </w:rPr>
        <w:t>Erasmus</w:t>
      </w:r>
      <w:proofErr w:type="spellEnd"/>
      <w:r w:rsidR="0008548B" w:rsidRPr="00B149C4">
        <w:rPr>
          <w:rFonts w:ascii="Times New Roman" w:hAnsi="Times New Roman" w:cs="Times New Roman"/>
          <w:sz w:val="24"/>
          <w:szCs w:val="24"/>
        </w:rPr>
        <w:t>+ u Natječajnoj godini 2022.''</w:t>
      </w:r>
      <w:r w:rsid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 </w:t>
      </w:r>
      <w:r w:rsidR="00273E4B" w:rsidRPr="00B149C4">
        <w:rPr>
          <w:rFonts w:ascii="Times New Roman" w:hAnsi="Times New Roman" w:cs="Times New Roman"/>
          <w:sz w:val="24"/>
          <w:szCs w:val="24"/>
        </w:rPr>
        <w:t xml:space="preserve">i elektroničkim putem s naznakom za odlazne mobilnosti nastavnog i nenastavnog osoblja u okviru programa </w:t>
      </w:r>
      <w:proofErr w:type="spellStart"/>
      <w:r w:rsidR="00273E4B" w:rsidRPr="00B149C4">
        <w:rPr>
          <w:rFonts w:ascii="Times New Roman" w:hAnsi="Times New Roman" w:cs="Times New Roman"/>
          <w:sz w:val="24"/>
          <w:szCs w:val="24"/>
        </w:rPr>
        <w:t>Erasmus</w:t>
      </w:r>
      <w:proofErr w:type="spellEnd"/>
      <w:r w:rsidR="00273E4B" w:rsidRPr="00B149C4">
        <w:rPr>
          <w:rFonts w:ascii="Times New Roman" w:hAnsi="Times New Roman" w:cs="Times New Roman"/>
          <w:sz w:val="24"/>
          <w:szCs w:val="24"/>
        </w:rPr>
        <w:t>+ KA1</w:t>
      </w:r>
      <w:r w:rsidR="0008548B" w:rsidRPr="00B149C4">
        <w:rPr>
          <w:rFonts w:ascii="Times New Roman" w:hAnsi="Times New Roman" w:cs="Times New Roman"/>
          <w:sz w:val="24"/>
          <w:szCs w:val="24"/>
        </w:rPr>
        <w:t>31</w:t>
      </w:r>
      <w:r w:rsidR="00273E4B" w:rsidRPr="00B149C4">
        <w:rPr>
          <w:rFonts w:ascii="Times New Roman" w:hAnsi="Times New Roman" w:cs="Times New Roman"/>
          <w:sz w:val="24"/>
          <w:szCs w:val="24"/>
        </w:rPr>
        <w:t xml:space="preserve"> Natječajna godina 2022 na: </w:t>
      </w:r>
      <w:hyperlink r:id="rId8" w:history="1">
        <w:r w:rsidR="00273E4B" w:rsidRPr="00B149C4">
          <w:rPr>
            <w:rStyle w:val="Hiperveza"/>
            <w:rFonts w:ascii="Times New Roman" w:hAnsi="Times New Roman" w:cs="Times New Roman"/>
            <w:sz w:val="24"/>
            <w:szCs w:val="24"/>
          </w:rPr>
          <w:t>dekan@visokaskolaarca.hr</w:t>
        </w:r>
      </w:hyperlink>
      <w:r w:rsidR="00273E4B" w:rsidRPr="00B149C4">
        <w:rPr>
          <w:rFonts w:ascii="Times New Roman" w:hAnsi="Times New Roman" w:cs="Times New Roman"/>
          <w:sz w:val="24"/>
          <w:szCs w:val="24"/>
        </w:rPr>
        <w:t>.</w:t>
      </w:r>
    </w:p>
    <w:p w:rsidR="00273E4B" w:rsidRPr="00B149C4" w:rsidRDefault="00273E4B" w:rsidP="00273E4B">
      <w:pPr>
        <w:spacing w:after="0" w:line="240" w:lineRule="auto"/>
        <w:rPr>
          <w:rFonts w:ascii="Times New Roman" w:hAnsi="Times New Roman" w:cs="Times New Roman"/>
          <w:sz w:val="24"/>
          <w:szCs w:val="24"/>
        </w:rPr>
      </w:pPr>
    </w:p>
    <w:p w:rsidR="00273E4B" w:rsidRPr="00B149C4" w:rsidRDefault="00273E4B" w:rsidP="00273E4B">
      <w:pPr>
        <w:spacing w:after="0" w:line="240" w:lineRule="auto"/>
        <w:rPr>
          <w:rFonts w:ascii="Times New Roman" w:hAnsi="Times New Roman" w:cs="Times New Roman"/>
          <w:b/>
          <w:sz w:val="24"/>
          <w:szCs w:val="24"/>
        </w:rPr>
      </w:pPr>
      <w:r w:rsidRPr="00B149C4">
        <w:rPr>
          <w:rFonts w:ascii="Times New Roman" w:hAnsi="Times New Roman" w:cs="Times New Roman"/>
          <w:b/>
          <w:sz w:val="24"/>
          <w:szCs w:val="24"/>
        </w:rPr>
        <w:t xml:space="preserve">POSTUPAK ODABIRA KANDIDATA </w:t>
      </w:r>
    </w:p>
    <w:p w:rsidR="00273E4B" w:rsidRPr="00B149C4" w:rsidRDefault="00273E4B" w:rsidP="00273E4B">
      <w:pPr>
        <w:spacing w:after="0" w:line="240" w:lineRule="auto"/>
        <w:rPr>
          <w:rFonts w:ascii="Times New Roman" w:hAnsi="Times New Roman" w:cs="Times New Roman"/>
          <w:sz w:val="24"/>
          <w:szCs w:val="24"/>
        </w:rPr>
      </w:pPr>
    </w:p>
    <w:p w:rsidR="00273E4B" w:rsidRPr="00B149C4" w:rsidRDefault="00273E4B" w:rsidP="00273E4B">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Kriteriji za ocjenjivanje prijava čine sastavni dio Natječaja. Tri ključna kriterija za odabir kandidata su: akademska/profesionalna postignuća, motivacija i diseminacija, a primjenjuju se u skladu sa strategijom Veleučilišta Arca. </w:t>
      </w:r>
    </w:p>
    <w:p w:rsidR="00273E4B" w:rsidRPr="00B149C4" w:rsidRDefault="00273E4B" w:rsidP="00273E4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Nakon administrativne provjere pristiglih prijava koju obavlja Ured za međunarodnu  suradnju, ako je primjenjivo, objavit će se obavijest s listom kandidata koji ne udovoljavaju uvjetima i kriterijima Natječaja. Prijave koje udovoljavaju uvjetima Natječaja šalju se na</w:t>
      </w:r>
      <w:r w:rsidRPr="0008548B">
        <w:rPr>
          <w:rFonts w:ascii="Times New Roman" w:hAnsi="Times New Roman" w:cs="Times New Roman"/>
          <w:sz w:val="24"/>
          <w:szCs w:val="24"/>
        </w:rPr>
        <w:t xml:space="preserve"> rangiranje Povjerenstvu.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Odluke o rang listama povjerenstva za rangiranje kandidata objavit će se na mrežnim stranicama, u pravilu početkom mjeseca. Konačni odabir kandidata će vršiti Povjerenstvo za odabir kandidata.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Lista odabranih kandidata objavljivat će se jednom mjesečno, u pravilu najkasnije do 20. u mjesecu, a temeljem prijava predanih u prethodnom mjesecu. Po iskorištenju osiguranih sredstava, formirat će se lista čekanja. </w:t>
      </w:r>
    </w:p>
    <w:p w:rsidR="003044EA"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Natječaj je otvoren do iskorištenja osiguranih sredstava po dostupnim ustanovama ili do </w:t>
      </w:r>
      <w:r w:rsidR="0008548B" w:rsidRPr="0008548B">
        <w:rPr>
          <w:rFonts w:ascii="Times New Roman" w:hAnsi="Times New Roman" w:cs="Times New Roman"/>
          <w:sz w:val="24"/>
          <w:szCs w:val="24"/>
        </w:rPr>
        <w:t>31.</w:t>
      </w:r>
      <w:r w:rsidRPr="0008548B">
        <w:rPr>
          <w:rFonts w:ascii="Times New Roman" w:hAnsi="Times New Roman" w:cs="Times New Roman"/>
          <w:sz w:val="24"/>
          <w:szCs w:val="24"/>
        </w:rPr>
        <w:t xml:space="preserve"> </w:t>
      </w:r>
      <w:r w:rsidR="0008548B" w:rsidRPr="0008548B">
        <w:rPr>
          <w:rFonts w:ascii="Times New Roman" w:hAnsi="Times New Roman" w:cs="Times New Roman"/>
          <w:sz w:val="24"/>
          <w:szCs w:val="24"/>
        </w:rPr>
        <w:t xml:space="preserve">svibnja </w:t>
      </w:r>
      <w:r w:rsidRPr="0008548B">
        <w:rPr>
          <w:rFonts w:ascii="Times New Roman" w:hAnsi="Times New Roman" w:cs="Times New Roman"/>
          <w:sz w:val="24"/>
          <w:szCs w:val="24"/>
        </w:rPr>
        <w:t>2025. godine. Nepotpune prijave, prijave pristigle nakon naznačenog roka (u obzir će se uzimati datum na poštanskom pečatu) te prijave podnesene samo elektroničkim putem ili samo poštom ili samo osobno neće se razmatrati.</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b/>
          <w:sz w:val="24"/>
          <w:szCs w:val="24"/>
        </w:rPr>
      </w:pPr>
      <w:r w:rsidRPr="0008548B">
        <w:rPr>
          <w:rFonts w:ascii="Times New Roman" w:hAnsi="Times New Roman" w:cs="Times New Roman"/>
          <w:b/>
          <w:sz w:val="24"/>
          <w:szCs w:val="24"/>
        </w:rPr>
        <w:t>KRITERIJI RASPODJELE FINANCIJSKIH SREDSTAVA</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sz w:val="24"/>
          <w:szCs w:val="24"/>
        </w:rPr>
      </w:pPr>
      <w:r w:rsidRPr="0008548B">
        <w:rPr>
          <w:rFonts w:ascii="Times New Roman" w:hAnsi="Times New Roman" w:cs="Times New Roman"/>
          <w:sz w:val="24"/>
          <w:szCs w:val="24"/>
        </w:rPr>
        <w:t xml:space="preserve">U okviru </w:t>
      </w:r>
      <w:proofErr w:type="spellStart"/>
      <w:r w:rsidRPr="0008548B">
        <w:rPr>
          <w:rFonts w:ascii="Times New Roman" w:hAnsi="Times New Roman" w:cs="Times New Roman"/>
          <w:sz w:val="24"/>
          <w:szCs w:val="24"/>
        </w:rPr>
        <w:t>Natječaja,a</w:t>
      </w:r>
      <w:proofErr w:type="spellEnd"/>
      <w:r w:rsidRPr="0008548B">
        <w:rPr>
          <w:rFonts w:ascii="Times New Roman" w:hAnsi="Times New Roman" w:cs="Times New Roman"/>
          <w:sz w:val="24"/>
          <w:szCs w:val="24"/>
        </w:rPr>
        <w:t xml:space="preserve"> </w:t>
      </w:r>
      <w:r w:rsidR="00B149C4">
        <w:rPr>
          <w:rFonts w:ascii="Times New Roman" w:hAnsi="Times New Roman" w:cs="Times New Roman"/>
          <w:sz w:val="24"/>
          <w:szCs w:val="24"/>
        </w:rPr>
        <w:t>u</w:t>
      </w:r>
      <w:r w:rsidRPr="0008548B">
        <w:rPr>
          <w:rFonts w:ascii="Times New Roman" w:hAnsi="Times New Roman" w:cs="Times New Roman"/>
          <w:sz w:val="24"/>
          <w:szCs w:val="24"/>
        </w:rPr>
        <w:t xml:space="preserve"> skladu s dostupnim sredstvima, dodjeljuje se određena kvota/broj mobilnosti temeljem sljedećih kriterija: </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b/>
          <w:sz w:val="24"/>
          <w:szCs w:val="24"/>
        </w:rPr>
      </w:pPr>
      <w:r w:rsidRPr="0008548B">
        <w:rPr>
          <w:rFonts w:ascii="Times New Roman" w:hAnsi="Times New Roman" w:cs="Times New Roman"/>
          <w:b/>
          <w:sz w:val="24"/>
          <w:szCs w:val="24"/>
        </w:rPr>
        <w:t xml:space="preserve">a) Za mobilnost u svrhu podučavanja: </w:t>
      </w:r>
    </w:p>
    <w:p w:rsidR="00273E4B" w:rsidRPr="0008548B" w:rsidRDefault="00273E4B" w:rsidP="00273E4B">
      <w:pPr>
        <w:spacing w:after="0" w:line="240" w:lineRule="auto"/>
        <w:rPr>
          <w:rFonts w:ascii="Times New Roman" w:hAnsi="Times New Roman" w:cs="Times New Roman"/>
          <w:b/>
          <w:sz w:val="24"/>
          <w:szCs w:val="24"/>
        </w:rPr>
      </w:pPr>
    </w:p>
    <w:p w:rsidR="0008548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Broj potpisanih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sporazuma; broj zaposlenika (nastavnog osoblja) u odlaznoj mobilnosti u svrhu poučavanja; broj osoblja u dolaznoj mobilnosti u svrhu poučavanja, i to sve u odnosu na broj zaposlenika (nastavnog osoblja) u natječajnoj godini 2018. </w:t>
      </w:r>
    </w:p>
    <w:p w:rsidR="0008548B" w:rsidRPr="00B149C4" w:rsidRDefault="0008548B" w:rsidP="00B149C4">
      <w:pPr>
        <w:spacing w:after="0" w:line="276" w:lineRule="auto"/>
        <w:jc w:val="both"/>
        <w:rPr>
          <w:rFonts w:ascii="Times New Roman" w:hAnsi="Times New Roman" w:cs="Times New Roman"/>
          <w:sz w:val="24"/>
          <w:szCs w:val="24"/>
        </w:rPr>
      </w:pPr>
    </w:p>
    <w:p w:rsidR="0008548B" w:rsidRPr="00B149C4" w:rsidRDefault="0008548B" w:rsidP="00B149C4">
      <w:pPr>
        <w:spacing w:after="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b) Za mobilnost u svrhu osposobljavanja: </w:t>
      </w:r>
    </w:p>
    <w:p w:rsidR="0008548B" w:rsidRPr="00B149C4" w:rsidRDefault="0008548B" w:rsidP="00B149C4">
      <w:pPr>
        <w:spacing w:after="0" w:line="276" w:lineRule="auto"/>
        <w:jc w:val="both"/>
        <w:rPr>
          <w:rFonts w:ascii="Times New Roman" w:hAnsi="Times New Roman" w:cs="Times New Roman"/>
          <w:sz w:val="24"/>
          <w:szCs w:val="24"/>
        </w:rPr>
      </w:pPr>
    </w:p>
    <w:p w:rsidR="00273E4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Broj potpisanih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sporazuma; broj zaposlenika (nastavnog i nenastavnog osoblja) u odlaznoj mobilnosti u svrhu osposobljavanja; broj nastavnog i nenastavnog osoblja u dolaznoj mobilnosti u svrhu osposobljavanja, i to sve u odnosu na broj zaposlenika (nastavnog i nenastavnog osoblja) , u natječajnoj godini 2018.</w:t>
      </w:r>
      <w:r w:rsidR="00273E4B" w:rsidRPr="00B149C4">
        <w:rPr>
          <w:rFonts w:ascii="Times New Roman" w:hAnsi="Times New Roman" w:cs="Times New Roman"/>
          <w:sz w:val="24"/>
          <w:szCs w:val="24"/>
        </w:rPr>
        <w:t xml:space="preserve"> </w:t>
      </w:r>
    </w:p>
    <w:p w:rsidR="00273E4B" w:rsidRPr="00B149C4" w:rsidRDefault="00273E4B" w:rsidP="00B149C4">
      <w:pPr>
        <w:spacing w:after="0" w:line="276" w:lineRule="auto"/>
        <w:jc w:val="both"/>
        <w:rPr>
          <w:rFonts w:ascii="Times New Roman" w:hAnsi="Times New Roman" w:cs="Times New Roman"/>
          <w:sz w:val="24"/>
          <w:szCs w:val="24"/>
        </w:rPr>
      </w:pPr>
    </w:p>
    <w:p w:rsidR="00273E4B" w:rsidRPr="00B149C4" w:rsidRDefault="00273E4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one koje ne izvode nastavu kvota/broj mobilnosti se dodjeljuje temeljem sljedećih kriterija: </w:t>
      </w:r>
    </w:p>
    <w:p w:rsidR="00273E4B" w:rsidRPr="00B149C4" w:rsidRDefault="00273E4B" w:rsidP="00B149C4">
      <w:pPr>
        <w:spacing w:after="0" w:line="276" w:lineRule="auto"/>
        <w:jc w:val="both"/>
        <w:rPr>
          <w:rFonts w:ascii="Times New Roman" w:hAnsi="Times New Roman" w:cs="Times New Roman"/>
          <w:sz w:val="24"/>
          <w:szCs w:val="24"/>
        </w:rPr>
      </w:pPr>
    </w:p>
    <w:p w:rsidR="00273E4B" w:rsidRPr="00B149C4" w:rsidRDefault="00273E4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c) Za mobilnost u svrhu podučavanja/osposobljavanja: </w:t>
      </w:r>
    </w:p>
    <w:p w:rsidR="00273E4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broj zaposlenika u odlaznoj mobilnosti u svrhu poučavanja/osposobljavanja; broj</w:t>
      </w:r>
      <w:r w:rsidR="00B149C4">
        <w:rPr>
          <w:rFonts w:ascii="Times New Roman" w:hAnsi="Times New Roman" w:cs="Times New Roman"/>
          <w:sz w:val="24"/>
          <w:szCs w:val="24"/>
        </w:rPr>
        <w:t xml:space="preserve"> </w:t>
      </w:r>
      <w:r w:rsidRPr="00B149C4">
        <w:rPr>
          <w:rFonts w:ascii="Times New Roman" w:hAnsi="Times New Roman" w:cs="Times New Roman"/>
          <w:sz w:val="24"/>
          <w:szCs w:val="24"/>
        </w:rPr>
        <w:t>osoblja u dolaznoj mobilnosti u svrhu osposobljavanja, i to sve u odnosu na broj</w:t>
      </w:r>
      <w:r w:rsidR="00B149C4">
        <w:rPr>
          <w:rFonts w:ascii="Times New Roman" w:hAnsi="Times New Roman" w:cs="Times New Roman"/>
          <w:sz w:val="24"/>
          <w:szCs w:val="24"/>
        </w:rPr>
        <w:t xml:space="preserve"> </w:t>
      </w:r>
      <w:r w:rsidRPr="00B149C4">
        <w:rPr>
          <w:rFonts w:ascii="Times New Roman" w:hAnsi="Times New Roman" w:cs="Times New Roman"/>
          <w:sz w:val="24"/>
          <w:szCs w:val="24"/>
        </w:rPr>
        <w:t>zaposlenika, u natječajnoj godini 2018.</w:t>
      </w:r>
    </w:p>
    <w:p w:rsidR="00B149C4" w:rsidRPr="0008548B" w:rsidRDefault="00B149C4" w:rsidP="0008548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b/>
          <w:sz w:val="24"/>
          <w:szCs w:val="24"/>
        </w:rPr>
      </w:pPr>
    </w:p>
    <w:p w:rsidR="00273E4B" w:rsidRPr="0008548B" w:rsidRDefault="00273E4B" w:rsidP="00273E4B">
      <w:pPr>
        <w:spacing w:after="0" w:line="276" w:lineRule="auto"/>
        <w:jc w:val="both"/>
        <w:rPr>
          <w:rFonts w:ascii="Times New Roman" w:hAnsi="Times New Roman" w:cs="Times New Roman"/>
          <w:b/>
          <w:sz w:val="24"/>
          <w:szCs w:val="24"/>
        </w:rPr>
      </w:pPr>
      <w:r w:rsidRPr="0008548B">
        <w:rPr>
          <w:rFonts w:ascii="Times New Roman" w:hAnsi="Times New Roman" w:cs="Times New Roman"/>
          <w:b/>
          <w:sz w:val="24"/>
          <w:szCs w:val="24"/>
        </w:rPr>
        <w:t>UPUTA O PRAVNOM LIJEKU</w:t>
      </w:r>
    </w:p>
    <w:p w:rsidR="00273E4B" w:rsidRPr="0008548B" w:rsidRDefault="00273E4B" w:rsidP="00273E4B">
      <w:pPr>
        <w:spacing w:after="0" w:line="276" w:lineRule="auto"/>
        <w:jc w:val="both"/>
        <w:rPr>
          <w:rFonts w:ascii="Times New Roman" w:hAnsi="Times New Roman" w:cs="Times New Roman"/>
          <w:b/>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Protiv Odluke o odabiru može se podnijeti žalba Povjerenstvu u roku od 8 dana od dana objave rezultata na mrežnim stranicama Veleučilište Arca.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Žalba se podnosi u pisanom obliku preporučenom poštom ili neposredno na protokol Veleučilišta Arca, na adresi </w:t>
      </w:r>
      <w:proofErr w:type="spellStart"/>
      <w:r w:rsidRPr="0008548B">
        <w:rPr>
          <w:rFonts w:ascii="Times New Roman" w:hAnsi="Times New Roman" w:cs="Times New Roman"/>
          <w:sz w:val="24"/>
          <w:szCs w:val="24"/>
        </w:rPr>
        <w:t>Kopilica</w:t>
      </w:r>
      <w:proofErr w:type="spellEnd"/>
      <w:r w:rsidRPr="0008548B">
        <w:rPr>
          <w:rFonts w:ascii="Times New Roman" w:hAnsi="Times New Roman" w:cs="Times New Roman"/>
          <w:sz w:val="24"/>
          <w:szCs w:val="24"/>
        </w:rPr>
        <w:t xml:space="preserve"> 5, 21000 Split, radnim danom od 8.00 do 16.00 sati</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Povjerenstvo odlučuje o žalbi donošenjem odluke u roku od 8 dana od dana zaprimanja izjavljene žalbe. </w:t>
      </w:r>
    </w:p>
    <w:p w:rsidR="00273E4B" w:rsidRPr="0008548B" w:rsidRDefault="00273E4B" w:rsidP="00273E4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b/>
          <w:sz w:val="24"/>
          <w:szCs w:val="24"/>
        </w:rPr>
        <w:t>OSTALO</w:t>
      </w:r>
      <w:r w:rsidRPr="0008548B">
        <w:rPr>
          <w:rFonts w:ascii="Times New Roman" w:hAnsi="Times New Roman" w:cs="Times New Roman"/>
          <w:sz w:val="24"/>
          <w:szCs w:val="24"/>
        </w:rPr>
        <w:t xml:space="preserve">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Prijavom na Natječaj kandidati pristaju da se njihovo ime objavi na popisu izabranih/odbijenih kandidata ili na listi čekanja. Za sve dodatne informacije obratiti se </w:t>
      </w:r>
      <w:proofErr w:type="spellStart"/>
      <w:r w:rsidRPr="0008548B">
        <w:rPr>
          <w:rFonts w:ascii="Times New Roman" w:hAnsi="Times New Roman" w:cs="Times New Roman"/>
          <w:sz w:val="24"/>
          <w:szCs w:val="24"/>
        </w:rPr>
        <w:t>Erasmus</w:t>
      </w:r>
      <w:proofErr w:type="spellEnd"/>
      <w:r w:rsidRPr="0008548B">
        <w:rPr>
          <w:rFonts w:ascii="Times New Roman" w:hAnsi="Times New Roman" w:cs="Times New Roman"/>
          <w:sz w:val="24"/>
          <w:szCs w:val="24"/>
        </w:rPr>
        <w:t xml:space="preserve"> koordinatoru na dekan@visokaskolaarca.hr.</w:t>
      </w:r>
    </w:p>
    <w:sectPr w:rsidR="00273E4B" w:rsidRPr="000854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F05" w:rsidRDefault="00703F05" w:rsidP="00497E09">
      <w:pPr>
        <w:spacing w:after="0" w:line="240" w:lineRule="auto"/>
      </w:pPr>
      <w:r>
        <w:separator/>
      </w:r>
    </w:p>
  </w:endnote>
  <w:endnote w:type="continuationSeparator" w:id="0">
    <w:p w:rsidR="00703F05" w:rsidRDefault="00703F05" w:rsidP="004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F05" w:rsidRDefault="00703F05" w:rsidP="00497E09">
      <w:pPr>
        <w:spacing w:after="0" w:line="240" w:lineRule="auto"/>
      </w:pPr>
      <w:r>
        <w:separator/>
      </w:r>
    </w:p>
  </w:footnote>
  <w:footnote w:type="continuationSeparator" w:id="0">
    <w:p w:rsidR="00703F05" w:rsidRDefault="00703F05" w:rsidP="0049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02"/>
      <w:gridCol w:w="2810"/>
      <w:gridCol w:w="2118"/>
    </w:tblGrid>
    <w:tr w:rsidR="00132797" w:rsidRPr="00843658" w:rsidTr="007F3ED7">
      <w:trPr>
        <w:trHeight w:val="1655"/>
        <w:jc w:val="center"/>
      </w:trPr>
      <w:tc>
        <w:tcPr>
          <w:tcW w:w="1716" w:type="dxa"/>
          <w:shd w:val="clear" w:color="auto" w:fill="auto"/>
        </w:tcPr>
        <w:p w:rsidR="003D04C6" w:rsidRPr="00843658" w:rsidRDefault="00DD7B59" w:rsidP="003D04C6">
          <w:pPr>
            <w:tabs>
              <w:tab w:val="center" w:pos="4536"/>
              <w:tab w:val="right" w:pos="9072"/>
            </w:tabs>
            <w:spacing w:after="0" w:line="240" w:lineRule="auto"/>
            <w:rPr>
              <w:rFonts w:ascii="Times New Roman" w:eastAsia="Times New Roman" w:hAnsi="Times New Roman" w:cs="Times New Roman"/>
              <w:b/>
              <w:sz w:val="16"/>
              <w:szCs w:val="16"/>
              <w:lang w:bidi="en-US"/>
            </w:rPr>
          </w:pPr>
          <w:r>
            <w:rPr>
              <w:rFonts w:ascii="Times New Roman" w:eastAsia="Times New Roman" w:hAnsi="Times New Roman" w:cs="Times New Roman"/>
              <w:b/>
              <w:noProof/>
              <w:sz w:val="16"/>
              <w:szCs w:val="16"/>
              <w:lang w:bidi="en-US"/>
            </w:rPr>
            <w:drawing>
              <wp:inline distT="0" distB="0" distL="0" distR="0" wp14:anchorId="60B97113">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DD7B59"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Pr>
              <w:rFonts w:ascii="Times New Roman" w:eastAsia="Times New Roman" w:hAnsi="Times New Roman" w:cs="Times New Roman"/>
              <w:sz w:val="20"/>
              <w:szCs w:val="18"/>
              <w:lang w:bidi="en-US"/>
            </w:rPr>
            <w:t>Veleučilište Arca</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proofErr w:type="spellStart"/>
          <w:r w:rsidRPr="00843658">
            <w:rPr>
              <w:rFonts w:ascii="Times New Roman" w:eastAsia="Times New Roman" w:hAnsi="Times New Roman" w:cs="Times New Roman"/>
              <w:sz w:val="20"/>
              <w:szCs w:val="18"/>
              <w:lang w:bidi="en-US"/>
            </w:rPr>
            <w:t>Kopilica</w:t>
          </w:r>
          <w:proofErr w:type="spellEnd"/>
          <w:r w:rsidRPr="00843658">
            <w:rPr>
              <w:rFonts w:ascii="Times New Roman" w:eastAsia="Times New Roman" w:hAnsi="Times New Roman" w:cs="Times New Roman"/>
              <w:sz w:val="20"/>
              <w:szCs w:val="18"/>
              <w:lang w:bidi="en-US"/>
            </w:rPr>
            <w:t xml:space="preserve"> 5</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sidRPr="00843658">
            <w:rPr>
              <w:rFonts w:ascii="Times New Roman" w:eastAsia="Times New Roman" w:hAnsi="Times New Roman" w:cs="Times New Roman"/>
              <w:sz w:val="20"/>
              <w:szCs w:val="18"/>
              <w:lang w:bidi="en-US"/>
            </w:rPr>
            <w:t>21000, Split</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6"/>
              <w:szCs w:val="16"/>
              <w:lang w:bidi="en-US"/>
            </w:rPr>
          </w:pPr>
        </w:p>
      </w:tc>
      <w:tc>
        <w:tcPr>
          <w:tcW w:w="2813"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3D04C6" w:rsidP="003D04C6">
          <w:pPr>
            <w:tabs>
              <w:tab w:val="center" w:pos="4536"/>
              <w:tab w:val="right" w:pos="9072"/>
            </w:tabs>
            <w:spacing w:after="0" w:line="276" w:lineRule="auto"/>
            <w:jc w:val="both"/>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 xml:space="preserve">Tel: +385 </w:t>
          </w:r>
          <w:r w:rsidR="00F74DB2">
            <w:rPr>
              <w:rFonts w:ascii="Times New Roman" w:eastAsia="Times New Roman" w:hAnsi="Times New Roman" w:cs="Times New Roman"/>
              <w:sz w:val="18"/>
              <w:szCs w:val="18"/>
              <w:lang w:bidi="en-US"/>
            </w:rPr>
            <w:t>97 620 4677</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Web: www.</w:t>
          </w:r>
          <w:r>
            <w:rPr>
              <w:rFonts w:ascii="Times New Roman" w:eastAsia="Times New Roman" w:hAnsi="Times New Roman" w:cs="Times New Roman"/>
              <w:sz w:val="18"/>
              <w:szCs w:val="18"/>
              <w:lang w:bidi="en-US"/>
            </w:rPr>
            <w:t>visokaskolaarca.hr</w:t>
          </w:r>
        </w:p>
        <w:p w:rsidR="003D04C6" w:rsidRPr="00132797"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roofErr w:type="spellStart"/>
          <w:r w:rsidRPr="00132797">
            <w:rPr>
              <w:rFonts w:ascii="Times New Roman" w:eastAsia="Times New Roman" w:hAnsi="Times New Roman" w:cs="Times New Roman"/>
              <w:sz w:val="18"/>
              <w:szCs w:val="18"/>
              <w:lang w:bidi="en-US"/>
            </w:rPr>
            <w:t>Email:</w:t>
          </w:r>
          <w:r w:rsidR="00DD7B59" w:rsidRPr="00132797">
            <w:rPr>
              <w:rFonts w:ascii="Times New Roman" w:eastAsia="Times New Roman" w:hAnsi="Times New Roman" w:cs="Times New Roman"/>
              <w:sz w:val="18"/>
              <w:szCs w:val="18"/>
              <w:lang w:bidi="en-US"/>
            </w:rPr>
            <w:t>referada</w:t>
          </w:r>
          <w:r w:rsidRPr="00132797">
            <w:rPr>
              <w:rFonts w:ascii="Times New Roman" w:eastAsia="Times New Roman" w:hAnsi="Times New Roman" w:cs="Times New Roman"/>
              <w:sz w:val="18"/>
              <w:szCs w:val="18"/>
              <w:lang w:bidi="en-US"/>
            </w:rPr>
            <w:t>@visokaskolaarca.hr</w:t>
          </w:r>
          <w:proofErr w:type="spellEnd"/>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OIB</w:t>
          </w:r>
          <w:r>
            <w:rPr>
              <w:rFonts w:ascii="Times New Roman" w:eastAsia="Times New Roman" w:hAnsi="Times New Roman" w:cs="Times New Roman"/>
              <w:sz w:val="18"/>
              <w:szCs w:val="18"/>
              <w:lang w:bidi="en-US"/>
            </w:rPr>
            <w:t>:</w:t>
          </w:r>
          <w:r w:rsidRPr="00843658">
            <w:rPr>
              <w:rFonts w:ascii="Times New Roman" w:eastAsia="Times New Roman" w:hAnsi="Times New Roman" w:cs="Times New Roman"/>
              <w:sz w:val="18"/>
              <w:szCs w:val="18"/>
              <w:lang w:bidi="en-US"/>
            </w:rPr>
            <w:t xml:space="preserve"> 06755374111</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MB: 2785722</w:t>
          </w:r>
        </w:p>
      </w:tc>
      <w:tc>
        <w:tcPr>
          <w:tcW w:w="2148" w:type="dxa"/>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noProof/>
              <w:sz w:val="18"/>
              <w:szCs w:val="18"/>
              <w:lang w:eastAsia="hr-HR"/>
            </w:rPr>
            <w:drawing>
              <wp:inline distT="0" distB="0" distL="0" distR="0" wp14:anchorId="58676A40" wp14:editId="1263F4E4">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497E09" w:rsidRPr="00497E09" w:rsidRDefault="00497E09" w:rsidP="00497E0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61CBE"/>
    <w:rsid w:val="0008548B"/>
    <w:rsid w:val="00085695"/>
    <w:rsid w:val="00105C8A"/>
    <w:rsid w:val="00132797"/>
    <w:rsid w:val="001807A2"/>
    <w:rsid w:val="001E51C0"/>
    <w:rsid w:val="001F23DA"/>
    <w:rsid w:val="00273E4B"/>
    <w:rsid w:val="003044EA"/>
    <w:rsid w:val="003D04C6"/>
    <w:rsid w:val="003D2D92"/>
    <w:rsid w:val="00410E53"/>
    <w:rsid w:val="00467022"/>
    <w:rsid w:val="00467DAD"/>
    <w:rsid w:val="00497E09"/>
    <w:rsid w:val="004C2C2D"/>
    <w:rsid w:val="00577711"/>
    <w:rsid w:val="005F0D71"/>
    <w:rsid w:val="006C14BA"/>
    <w:rsid w:val="006E7BA0"/>
    <w:rsid w:val="00703F05"/>
    <w:rsid w:val="00724144"/>
    <w:rsid w:val="007A2F85"/>
    <w:rsid w:val="00907F07"/>
    <w:rsid w:val="00AB1E60"/>
    <w:rsid w:val="00AB2726"/>
    <w:rsid w:val="00B149C4"/>
    <w:rsid w:val="00B830BE"/>
    <w:rsid w:val="00BE239C"/>
    <w:rsid w:val="00BF0A89"/>
    <w:rsid w:val="00C6661F"/>
    <w:rsid w:val="00D867B4"/>
    <w:rsid w:val="00DD1DCA"/>
    <w:rsid w:val="00DD7B59"/>
    <w:rsid w:val="00E21656"/>
    <w:rsid w:val="00E37770"/>
    <w:rsid w:val="00E47223"/>
    <w:rsid w:val="00E7710E"/>
    <w:rsid w:val="00F74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42A84"/>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ind w:left="720"/>
      <w:contextualSpacing/>
    </w:pPr>
  </w:style>
  <w:style w:type="paragraph" w:styleId="Zaglavlje">
    <w:name w:val="header"/>
    <w:basedOn w:val="Normal"/>
    <w:link w:val="ZaglavljeChar"/>
    <w:uiPriority w:val="99"/>
    <w:unhideWhenUsed/>
    <w:rsid w:val="00497E0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97E09"/>
  </w:style>
  <w:style w:type="paragraph" w:customStyle="1" w:styleId="Default">
    <w:name w:val="Default"/>
    <w:rsid w:val="006E7BA0"/>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6E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rsid w:val="00D867B4"/>
    <w:pPr>
      <w:spacing w:line="240" w:lineRule="auto"/>
    </w:pPr>
    <w:rPr>
      <w:sz w:val="20"/>
      <w:szCs w:val="20"/>
    </w:rPr>
  </w:style>
  <w:style w:type="character" w:customStyle="1" w:styleId="TekstkomentaraChar">
    <w:name w:val="Tekst komentara Char"/>
    <w:basedOn w:val="Zadanifontodlomka"/>
    <w:link w:val="Tekstkomentara"/>
    <w:uiPriority w:val="99"/>
    <w:semiHidden/>
    <w:rsid w:val="00D867B4"/>
    <w:rPr>
      <w:sz w:val="20"/>
      <w:szCs w:val="20"/>
    </w:rPr>
  </w:style>
  <w:style w:type="character" w:styleId="Referencakomentara">
    <w:name w:val="annotation reference"/>
    <w:uiPriority w:val="99"/>
    <w:semiHidden/>
    <w:unhideWhenUsed/>
    <w:rsid w:val="00D867B4"/>
    <w:rPr>
      <w:sz w:val="16"/>
      <w:szCs w:val="16"/>
    </w:rPr>
  </w:style>
  <w:style w:type="paragraph" w:styleId="Tekstbalonia">
    <w:name w:val="Balloon Text"/>
    <w:basedOn w:val="Normal"/>
    <w:link w:val="TekstbaloniaChar"/>
    <w:uiPriority w:val="99"/>
    <w:semiHidden/>
    <w:unhideWhenUsed/>
    <w:rsid w:val="00D867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67B4"/>
    <w:rPr>
      <w:rFonts w:ascii="Segoe UI" w:hAnsi="Segoe UI" w:cs="Segoe UI"/>
      <w:sz w:val="18"/>
      <w:szCs w:val="18"/>
    </w:rPr>
  </w:style>
  <w:style w:type="character" w:styleId="Hiperveza">
    <w:name w:val="Hyperlink"/>
    <w:basedOn w:val="Zadanifontodlomka"/>
    <w:uiPriority w:val="99"/>
    <w:unhideWhenUsed/>
    <w:rsid w:val="00273E4B"/>
    <w:rPr>
      <w:color w:val="0563C1" w:themeColor="hyperlink"/>
      <w:u w:val="single"/>
    </w:rPr>
  </w:style>
  <w:style w:type="character" w:styleId="Nerijeenospominjanje">
    <w:name w:val="Unresolved Mention"/>
    <w:basedOn w:val="Zadanifontodlomka"/>
    <w:uiPriority w:val="99"/>
    <w:semiHidden/>
    <w:unhideWhenUsed/>
    <w:rsid w:val="0027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visokaskolaarc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1289</Words>
  <Characters>7353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3</cp:revision>
  <cp:lastPrinted>2022-01-10T07:55:00Z</cp:lastPrinted>
  <dcterms:created xsi:type="dcterms:W3CDTF">2023-07-24T11:30:00Z</dcterms:created>
  <dcterms:modified xsi:type="dcterms:W3CDTF">2023-07-26T10:57:00Z</dcterms:modified>
</cp:coreProperties>
</file>