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B8" w:rsidRDefault="008A6FB8" w:rsidP="008A6FB8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509F6E39" wp14:editId="0F545468">
            <wp:extent cx="1901825" cy="54229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FB8" w:rsidRDefault="008A6FB8" w:rsidP="008A6FB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>Upute za Natječaj za mobilnost nastavnog i nenastavnog osoblja u okviru</w:t>
      </w:r>
    </w:p>
    <w:p w:rsidR="008A6FB8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 xml:space="preserve">programa </w:t>
      </w:r>
      <w:proofErr w:type="spellStart"/>
      <w:r w:rsidRPr="00BB2E53">
        <w:rPr>
          <w:rFonts w:ascii="Times New Roman" w:hAnsi="Times New Roman" w:cs="Times New Roman"/>
          <w:b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b/>
          <w:sz w:val="24"/>
        </w:rPr>
        <w:t>+ u natječajnoj godini 20</w:t>
      </w:r>
      <w:r>
        <w:rPr>
          <w:rFonts w:ascii="Times New Roman" w:hAnsi="Times New Roman" w:cs="Times New Roman"/>
          <w:b/>
          <w:sz w:val="24"/>
        </w:rPr>
        <w:t>2</w:t>
      </w:r>
      <w:r w:rsidR="004D2554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Pr="00BB2E53">
        <w:rPr>
          <w:rFonts w:ascii="Times New Roman" w:hAnsi="Times New Roman" w:cs="Times New Roman"/>
          <w:b/>
          <w:sz w:val="24"/>
        </w:rPr>
        <w:t>.</w:t>
      </w: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SVRHA MOBILNOSTI</w:t>
      </w:r>
      <w:r w:rsidRPr="00BD44E0">
        <w:rPr>
          <w:rStyle w:val="Referencafusnote"/>
          <w:rFonts w:ascii="Times New Roman" w:hAnsi="Times New Roman" w:cs="Times New Roman"/>
          <w:i/>
          <w:sz w:val="24"/>
          <w:u w:val="single"/>
        </w:rPr>
        <w:footnoteReference w:id="1"/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1. Podučavanje (nastavno osoblje)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2. Osposobljavanje (nastavno i nenastavno osoblje) može uključivati nekoliko vrsta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aktivnosti: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pohađanje strukturiranog tečaja/radionice stručnog usavršavanja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inozemne visokoobrazovne ustanove; npr.: osiguranje kvalitete u visokom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obrazovanju, provedba programa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>+, poboljšanje organizacijskih 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komunikacijskih sposobnosti djelatnika i sve ostalo što pridonosi poboljšanju vještina,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znanja/kompetencija potrebnih za obavljanje poslova u okviru postojećeg radnog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mjesta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rad prema modelu </w:t>
      </w:r>
      <w:proofErr w:type="spellStart"/>
      <w:r w:rsidRPr="00BB2E53">
        <w:rPr>
          <w:rFonts w:ascii="Times New Roman" w:hAnsi="Times New Roman" w:cs="Times New Roman"/>
          <w:sz w:val="24"/>
        </w:rPr>
        <w:t>job-shadowing</w:t>
      </w:r>
      <w:proofErr w:type="spellEnd"/>
      <w:r w:rsidRPr="00BB2E53">
        <w:rPr>
          <w:rFonts w:ascii="Times New Roman" w:hAnsi="Times New Roman" w:cs="Times New Roman"/>
          <w:sz w:val="24"/>
        </w:rPr>
        <w:t>, tj. praćenja rada kolega na inozemnoj ustanovi pri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obavljanju njihovih stručnih aktivnosti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jezični trening usmjeren na profesionalne potrebe sudionika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 xml:space="preserve">TRAJANJE MOBILNOSTI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svrhu podučavanja najkraće trajanje mobilnosti iznosi 5 dana, a najduže 60 dana, uz obvezu održavanja najmanje 8 sati nastave tjedno, ako se ne radi o kombiniranoj mobilnosti.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svrhu osposobljavanja najkraće trajanje mobilnosti iznosi 5 dana, a najduže 60 dana. Mobilnost se mora odvijati u kontinuitetu.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Ako predloženi datumi mobilnosti uključuju dane vikenda, isti moraju biti ispunjeni aktivnostima u </w:t>
      </w:r>
      <w:proofErr w:type="spellStart"/>
      <w:r w:rsidRPr="00C322DA">
        <w:rPr>
          <w:rFonts w:ascii="Times New Roman" w:hAnsi="Times New Roman" w:cs="Times New Roman"/>
          <w:sz w:val="24"/>
        </w:rPr>
        <w:t>Mobility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22DA">
        <w:rPr>
          <w:rFonts w:ascii="Times New Roman" w:hAnsi="Times New Roman" w:cs="Times New Roman"/>
          <w:sz w:val="24"/>
        </w:rPr>
        <w:t>Agreementu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kako bi mogli biti financirani.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Sukladno osiguranim financijskim sredstvima, preporuka </w:t>
      </w:r>
      <w:r w:rsidR="00734DFA">
        <w:rPr>
          <w:rFonts w:ascii="Times New Roman" w:hAnsi="Times New Roman" w:cs="Times New Roman"/>
          <w:sz w:val="24"/>
        </w:rPr>
        <w:t xml:space="preserve">Veleučilištu Arca </w:t>
      </w:r>
      <w:r w:rsidRPr="00C322DA">
        <w:rPr>
          <w:rFonts w:ascii="Times New Roman" w:hAnsi="Times New Roman" w:cs="Times New Roman"/>
          <w:sz w:val="24"/>
        </w:rPr>
        <w:t xml:space="preserve">jest da trajanje mobilnosti osoblja u svrhu podučavanja iznosi 5 dana (kako bi Korisnik mogao dati doprinos nastavnom programu i međunarodnom akademskom životu na partnerskoj ustanovi zbog </w:t>
      </w:r>
      <w:r w:rsidRPr="00C322DA">
        <w:rPr>
          <w:rFonts w:ascii="Times New Roman" w:hAnsi="Times New Roman" w:cs="Times New Roman"/>
          <w:sz w:val="24"/>
        </w:rPr>
        <w:lastRenderedPageBreak/>
        <w:t xml:space="preserve">nužnosti ravnoteže između broja dana provedenih na aktivnosti i sati održane nastave) te trajanje mobilnosti u svrhu osposobljavanja iznosi 5 dana.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 trajanje mobilnosti u radnim danima može se zatražiti još najviše 2 dana namijenjena putovanju od i do destinacije mobilnosti.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Napomena za IPA zemlje: Vrijeme na putovanju provedeno nije uključeno u trajanje razdoblja mobilnosti i ne ulazi u obračun pojedinačne potpore.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Zatraženi broj dana mobilnosti treba biti u skladu s opsegom aktivnosti planiranih tijekom mobilnosti.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A6FB8" w:rsidRPr="00C322DA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Napomena: Ukoliko u trenutku prijave nisu poznati točni datumi mobilnosti, prijavitelj mora upisati procjenu razdoblja mobilnosti, npr. određeni mjesec u godini ili slično. O točnim datumima planirane mobilnosti prijavitelj je dužan obavijestiti nadležnu osobu odmah po saznanju i u najkraćem mogućem roku te o tome dobiti njihovu suglasnost.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FINANCIJSKA POTPORA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322DA">
        <w:rPr>
          <w:rFonts w:ascii="Times New Roman" w:hAnsi="Times New Roman" w:cs="Times New Roman"/>
          <w:sz w:val="24"/>
        </w:rPr>
        <w:t>Erasmus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+ dnevnica je 180,00 eura do 14. dana mobilnosti, dok se putni troškovi dodjeljuju na temelju udaljenosti do odredišta mobilnosti (vidjeti dokument Iznosi financijske potpore) u obliku paušalnog iznosa. Udaljenost u kilometrima računa se pomoću kalkulatora objavljenog na stranicama Europske komisije (http://ec.europa.eu/programmes/erasmus-plus/tools/distance_en.htm). Iznos za troškove puta izračunava se na temelju kalkulatorom određene zračne udaljenosti između polazišta i destinacije u jednom smjeru, a doprinos trošku se odnosi na dvosmjerno putovanje.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Osoblje je dužno čuvati relevantnu putnu dokumentaciju.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putne troškove ne uračunavaju se troškovi nastali uslijed otkaza putovanja niti troškovi putnog osiguranja.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Broj dodijeljenih financijskih potpora-</w:t>
      </w:r>
      <w:proofErr w:type="spellStart"/>
      <w:r w:rsidRPr="00C322DA">
        <w:rPr>
          <w:rFonts w:ascii="Times New Roman" w:hAnsi="Times New Roman" w:cs="Times New Roman"/>
          <w:sz w:val="24"/>
        </w:rPr>
        <w:t>granta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ovisi o broju prijavljenih kandidata, trajanju mobilnosti te o osiguranim financijskim sredstvima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>DODATAK ZA „ZELENO“ PUTOVANJE (GREEN TRAVEL)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Sudionici mobilnosti koji koriste zeleni način putovanja (npr. vlak, autobus, bicikl) mogu primiti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jednokratni dodatni financijski poticaj kao dodatni iznos za pojedinačnu potporu za povratno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putovanje, ako se za putovanje u oba smjera koristi zeleni način putovanja.</w:t>
      </w: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 xml:space="preserve">U trenutku sklapanja ugovora o dodjeli financijske potpore sa </w:t>
      </w:r>
      <w:r>
        <w:rPr>
          <w:rFonts w:ascii="Times New Roman" w:hAnsi="Times New Roman" w:cs="Times New Roman"/>
          <w:sz w:val="24"/>
        </w:rPr>
        <w:t>Veleučilištem Arca</w:t>
      </w:r>
      <w:r w:rsidRPr="00B11BE3">
        <w:rPr>
          <w:rFonts w:ascii="Times New Roman" w:hAnsi="Times New Roman" w:cs="Times New Roman"/>
          <w:sz w:val="24"/>
        </w:rPr>
        <w:t>, definirat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će se financiranje zelenog načina putovanja te će sudionici potpisivati Izjavu o korištenju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zelenog putovanja.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ISPLATA FINANCIJSKE POTPORE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Osobe koje ostvare pravo na financijsku potporu za mobilnost sklopit će s </w:t>
      </w:r>
      <w:r>
        <w:rPr>
          <w:rFonts w:ascii="Times New Roman" w:hAnsi="Times New Roman" w:cs="Times New Roman"/>
          <w:sz w:val="24"/>
        </w:rPr>
        <w:t xml:space="preserve">Veleučilištem Arca </w:t>
      </w:r>
      <w:r w:rsidRPr="00BD44E0">
        <w:rPr>
          <w:rFonts w:ascii="Times New Roman" w:hAnsi="Times New Roman" w:cs="Times New Roman"/>
          <w:sz w:val="24"/>
        </w:rPr>
        <w:t xml:space="preserve">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podučavanja/Ugovor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osposobljavanja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kojim se reguliraju međusobna prava i obveze. 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Veleučilište Arca</w:t>
      </w:r>
      <w:r w:rsidRPr="00BD44E0">
        <w:rPr>
          <w:rFonts w:ascii="Times New Roman" w:hAnsi="Times New Roman" w:cs="Times New Roman"/>
          <w:sz w:val="24"/>
        </w:rPr>
        <w:t xml:space="preserve"> se obvezuje na žiro račun , uz nalog za prijenos sredstava, isplatiti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financijsku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potporu za Korisnika.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Odobreni iznos financijskih sredstava za Korisnika </w:t>
      </w: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BD44E0">
        <w:rPr>
          <w:rFonts w:ascii="Times New Roman" w:hAnsi="Times New Roman" w:cs="Times New Roman"/>
          <w:sz w:val="24"/>
        </w:rPr>
        <w:t>će doznačiti na žiro račun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najkasnije 30 dana od potpisivanja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 podučavanja /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mobilnost osoblja u svrhu osposobljavanja, u kunskoj protuvrijednosti prema tečaju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 određuje </w:t>
      </w:r>
      <w:r>
        <w:rPr>
          <w:rFonts w:ascii="Times New Roman" w:hAnsi="Times New Roman" w:cs="Times New Roman"/>
          <w:sz w:val="24"/>
        </w:rPr>
        <w:t xml:space="preserve">Visoka škola </w:t>
      </w:r>
      <w:r w:rsidRPr="00BD44E0">
        <w:rPr>
          <w:rFonts w:ascii="Times New Roman" w:hAnsi="Times New Roman" w:cs="Times New Roman"/>
          <w:sz w:val="24"/>
        </w:rPr>
        <w:t>, a prema uputama Agencije za mobilnost i programe EU (u daljem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tekstu AMPEU), sukladno važećim propisima Republike Hrvatske i pravilima AMPEU.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Financijska potpora isplatit će se Korisniku u obliku predujma po putnom nalogu, a konačan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iznos financijske potpore određuje/utvrđuje se nakon što sudionik ispuni EU upitnik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internetskom alatu </w:t>
      </w:r>
      <w:proofErr w:type="spellStart"/>
      <w:r w:rsidRPr="00F9363D">
        <w:rPr>
          <w:rFonts w:ascii="Times New Roman" w:hAnsi="Times New Roman" w:cs="Times New Roman"/>
          <w:sz w:val="24"/>
        </w:rPr>
        <w:t>Mobility</w:t>
      </w:r>
      <w:proofErr w:type="spellEnd"/>
      <w:r w:rsidRPr="00F9363D">
        <w:rPr>
          <w:rFonts w:ascii="Times New Roman" w:hAnsi="Times New Roman" w:cs="Times New Roman"/>
          <w:sz w:val="24"/>
        </w:rPr>
        <w:t xml:space="preserve"> Tool i dostavi izvornik potvrde inozemne ustanove o sudjelovanju.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F9363D">
        <w:rPr>
          <w:rFonts w:ascii="Times New Roman" w:hAnsi="Times New Roman" w:cs="Times New Roman"/>
          <w:sz w:val="24"/>
        </w:rPr>
        <w:t>je dužno isplatiti samo ona sredstva koja mu je doznačila Nacionalna agencija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odnosno Europska komisija.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OSIGURANJE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Korisnik je dužan biti zdravstveno osiguran za vrijeme trajanja mobilnosti u inozemstvu.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Korisniku koji je zdravstveno osiguran u Republici Hrvatskoj, u područnom uredu HZZO-a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prema mjestu prebivališta može se na osobni zahtjev, besplatno, izdati Europska kartica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zdravstvenog osiguranja (u daljnjem tekstu EKZO). Korisnik za vrijeme trajanja mobilnosti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lastRenderedPageBreak/>
        <w:t>bilo kojoj od država članica EU, Islandu, Lihtenštajnu i Norveškoj temeljem EKZO-a može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koristiti neodgodivu zdravstvenu zaštitu.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Osoblje koje mobilnost želi ostvariti u Turskoj ili Makedoniji dužno je sklopiti policu osiguranja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koja mora uključivati zdravstveno osiguranje u inozemstvu. Polica se može sklopiti s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osiguravajućim društvom prema vlastitom izboru u Republici Hrvatskoj ili u državi u kojoj će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ostvariti mobilnost.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Osnovno osiguranje obično osigurava nacionalno zdravstveno osiguranje sudionika i za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njegovog boravka u drugoj zemlji EU preko europske zdravstvene iskaznice. Međutim,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koje pokriva europska zdravstvena iskaznica ili privatno osiguranje možda nije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dovoljno, posebno u slučaju repatrijacije i određene liječničke intervencije stoga 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preporuka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a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sklopiti dodatnu policu zdravstvenog osiguranja.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Ukoliko je na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u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putno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regulirano na drugačiji način, Korisnik je dužan isto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naglasiti prije upućivanja na mobilnost.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C322DA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C322DA">
        <w:rPr>
          <w:rFonts w:ascii="Times New Roman" w:hAnsi="Times New Roman" w:cs="Times New Roman"/>
          <w:sz w:val="24"/>
          <w:u w:val="single"/>
        </w:rPr>
        <w:t>VIZA</w:t>
      </w:r>
    </w:p>
    <w:p w:rsidR="00C322DA" w:rsidRDefault="00C322DA" w:rsidP="00C322DA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C322DA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Ako je potrebna viza za boravak u inozemstvu Korisnik financijske potpore dužan je</w:t>
      </w:r>
      <w:r>
        <w:rPr>
          <w:rFonts w:ascii="Times New Roman" w:hAnsi="Times New Roman" w:cs="Times New Roman"/>
          <w:sz w:val="24"/>
        </w:rPr>
        <w:t xml:space="preserve"> </w:t>
      </w:r>
      <w:r w:rsidRPr="00C322DA">
        <w:rPr>
          <w:rFonts w:ascii="Times New Roman" w:hAnsi="Times New Roman" w:cs="Times New Roman"/>
          <w:sz w:val="24"/>
        </w:rPr>
        <w:t>sam ishoditi vizu u svrhu podučavanja/osposobljavanja na inozemnoj visokoškolskoj</w:t>
      </w:r>
      <w:r>
        <w:rPr>
          <w:rFonts w:ascii="Times New Roman" w:hAnsi="Times New Roman" w:cs="Times New Roman"/>
          <w:sz w:val="24"/>
        </w:rPr>
        <w:t xml:space="preserve">  </w:t>
      </w:r>
      <w:r w:rsidRPr="00C322DA">
        <w:rPr>
          <w:rFonts w:ascii="Times New Roman" w:hAnsi="Times New Roman" w:cs="Times New Roman"/>
          <w:sz w:val="24"/>
        </w:rPr>
        <w:t>ustanovi. Odjel za međunarodnu i međusveučilišnu suradnju će pružiti podršku u</w:t>
      </w:r>
      <w:r>
        <w:rPr>
          <w:rFonts w:ascii="Times New Roman" w:hAnsi="Times New Roman" w:cs="Times New Roman"/>
          <w:sz w:val="24"/>
        </w:rPr>
        <w:t xml:space="preserve"> </w:t>
      </w:r>
      <w:r w:rsidRPr="00C322DA">
        <w:rPr>
          <w:rFonts w:ascii="Times New Roman" w:hAnsi="Times New Roman" w:cs="Times New Roman"/>
          <w:sz w:val="24"/>
        </w:rPr>
        <w:t>pružanju informacija.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PROMJENA INSTITUCIJE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sz w:val="24"/>
        </w:rPr>
        <w:t>Naknadna promjena natječajem odobrene institucije nije moguća.</w:t>
      </w:r>
      <w:r w:rsidRPr="00F9363D">
        <w:rPr>
          <w:rFonts w:ascii="Times New Roman" w:hAnsi="Times New Roman" w:cs="Times New Roman"/>
          <w:sz w:val="24"/>
        </w:rPr>
        <w:cr/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ZABRANA DVOSTRUKOG FINANCIRANJA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 xml:space="preserve">Korisnik ne može dobiti financijsku potporu u sklopu programa </w:t>
      </w:r>
      <w:proofErr w:type="spellStart"/>
      <w:r w:rsidRPr="00F9363D">
        <w:rPr>
          <w:rFonts w:ascii="Times New Roman" w:hAnsi="Times New Roman" w:cs="Times New Roman"/>
          <w:sz w:val="24"/>
        </w:rPr>
        <w:t>Erasmus</w:t>
      </w:r>
      <w:proofErr w:type="spellEnd"/>
      <w:r w:rsidRPr="00F9363D">
        <w:rPr>
          <w:rFonts w:ascii="Times New Roman" w:hAnsi="Times New Roman" w:cs="Times New Roman"/>
          <w:sz w:val="24"/>
        </w:rPr>
        <w:t>+ ukoliko je njegova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mobilnost dodatno financirana iz sredstava koja potječu iz Europske unije. Prijavom na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Natječaj, kandidati potpisuju izjavu o zabrani dvostrukog financiranja.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 xml:space="preserve">OSOBLJE S MANJE MOGUĆNOSTI 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Potencijalni je sudionik osoba čije je osobno, fizičko, mentalno ili zdravstveno stanje takvo da njihovo sudjelovanje u projektu / aktivnosti mobilnosti ne bi bilo moguće bez dodatne financijske ili druge vrste potpore. Visoka učilišta koja su odabrala osoblje s manje mogućnosti mogu zatražiti dodatna bespovratna sredstva od Nacionalne agencije za pokrivanje dodatnih </w:t>
      </w:r>
      <w:r w:rsidRPr="008A6FB8">
        <w:rPr>
          <w:rFonts w:ascii="Times New Roman" w:hAnsi="Times New Roman" w:cs="Times New Roman"/>
          <w:sz w:val="24"/>
        </w:rPr>
        <w:lastRenderedPageBreak/>
        <w:t xml:space="preserve">troškova njihova sudjelovanja u aktivnostima mobilnosti. Za osoblje s manje mogućnosti, potpora u obliku bespovratnih sredstava može biti viša od maksimalnih pojedinačnih iznosa bespovratnih sredstava. Osobe u pratnji osoblja s manje mogućnosti imaju pravo na doprinos na temelju stvarnih troškova. Prijavni obrazac za dodjelu dodatne financijske potpore za </w:t>
      </w:r>
      <w:proofErr w:type="spellStart"/>
      <w:r w:rsidRPr="008A6FB8">
        <w:rPr>
          <w:rFonts w:ascii="Times New Roman" w:hAnsi="Times New Roman" w:cs="Times New Roman"/>
          <w:sz w:val="24"/>
        </w:rPr>
        <w:t>uključivost</w:t>
      </w:r>
      <w:proofErr w:type="spellEnd"/>
      <w:r w:rsidRPr="008A6FB8">
        <w:rPr>
          <w:rFonts w:ascii="Times New Roman" w:hAnsi="Times New Roman" w:cs="Times New Roman"/>
          <w:sz w:val="24"/>
        </w:rPr>
        <w:t xml:space="preserve"> nalazi se u Vezanim dokumentima Natječaja.</w:t>
      </w:r>
    </w:p>
    <w:p w:rsid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32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u w:val="single"/>
        </w:rPr>
      </w:pPr>
      <w:r w:rsidRPr="00C322DA">
        <w:rPr>
          <w:rFonts w:ascii="Times New Roman" w:hAnsi="Times New Roman" w:cs="Times New Roman"/>
          <w:sz w:val="24"/>
          <w:u w:val="single"/>
        </w:rPr>
        <w:t>OSOBLJE BEZ FINANCIJSKE POTPORE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Kandidat koji se prijavio na Natječaj, ali mu nije odobrena financijska potpora, može ostvariti pravo na mobilnost o vlastitom trošku.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Na mobilnost bez financijske potpore primjenjuju se ista pravila kao i za mobilnost uz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financijsku potporu.</w:t>
      </w:r>
    </w:p>
    <w:sectPr w:rsidR="00C322DA" w:rsidRPr="00C322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3B5" w:rsidRDefault="00DB03B5" w:rsidP="00497E09">
      <w:pPr>
        <w:spacing w:after="0" w:line="240" w:lineRule="auto"/>
      </w:pPr>
      <w:r>
        <w:separator/>
      </w:r>
    </w:p>
  </w:endnote>
  <w:endnote w:type="continuationSeparator" w:id="0">
    <w:p w:rsidR="00DB03B5" w:rsidRDefault="00DB03B5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3B5" w:rsidRDefault="00DB03B5" w:rsidP="00497E09">
      <w:pPr>
        <w:spacing w:after="0" w:line="240" w:lineRule="auto"/>
      </w:pPr>
      <w:r>
        <w:separator/>
      </w:r>
    </w:p>
  </w:footnote>
  <w:footnote w:type="continuationSeparator" w:id="0">
    <w:p w:rsidR="00DB03B5" w:rsidRDefault="00DB03B5" w:rsidP="00497E09">
      <w:pPr>
        <w:spacing w:after="0" w:line="240" w:lineRule="auto"/>
      </w:pPr>
      <w:r>
        <w:continuationSeparator/>
      </w:r>
    </w:p>
  </w:footnote>
  <w:footnote w:id="1"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Style w:val="Referencafusnote"/>
          <w:rFonts w:ascii="Times New Roman" w:hAnsi="Times New Roman" w:cs="Times New Roman"/>
        </w:rPr>
        <w:footnoteRef/>
      </w:r>
      <w:r w:rsidRPr="00BB2E53">
        <w:rPr>
          <w:rFonts w:ascii="Times New Roman" w:hAnsi="Times New Roman" w:cs="Times New Roman"/>
        </w:rPr>
        <w:t xml:space="preserve">  U programu </w:t>
      </w:r>
      <w:proofErr w:type="spellStart"/>
      <w:r w:rsidRPr="00BB2E53">
        <w:rPr>
          <w:rFonts w:ascii="Times New Roman" w:hAnsi="Times New Roman" w:cs="Times New Roman"/>
        </w:rPr>
        <w:t>Erasmus</w:t>
      </w:r>
      <w:proofErr w:type="spellEnd"/>
      <w:r w:rsidRPr="00BB2E53">
        <w:rPr>
          <w:rFonts w:ascii="Times New Roman" w:hAnsi="Times New Roman" w:cs="Times New Roman"/>
        </w:rPr>
        <w:t>+ konferencije više nisu prihvatljiva aktivnost. Za prihvatljivost aktivnosti, nije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bitna uloga osobe (govornik ili ne), već cilj samog događaja. Cilj je učenje novih i inovativnih metoda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učenja i podučavanja, stoga konferencija ili bilo koji drugi oblici aktivnosti usmjereni na specifično</w:t>
      </w:r>
    </w:p>
    <w:p w:rsidR="008A6FB8" w:rsidRDefault="008A6FB8" w:rsidP="008A6FB8">
      <w:pPr>
        <w:pStyle w:val="Tekstfusnote"/>
      </w:pPr>
      <w:r w:rsidRPr="00BB2E53">
        <w:rPr>
          <w:rFonts w:ascii="Times New Roman" w:hAnsi="Times New Roman" w:cs="Times New Roman"/>
        </w:rPr>
        <w:t>područje nisu prihvatljivi.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4"/>
      <w:gridCol w:w="2740"/>
      <w:gridCol w:w="2126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4D2554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Gundulićeva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26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4D2554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3D04C6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@v</w:t>
          </w:r>
          <w:r w:rsidR="004D2554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105C8A"/>
    <w:rsid w:val="00124B80"/>
    <w:rsid w:val="00132797"/>
    <w:rsid w:val="001807A2"/>
    <w:rsid w:val="001E51C0"/>
    <w:rsid w:val="001F23DA"/>
    <w:rsid w:val="003D04C6"/>
    <w:rsid w:val="003D2D92"/>
    <w:rsid w:val="00410E53"/>
    <w:rsid w:val="00467022"/>
    <w:rsid w:val="00467DAD"/>
    <w:rsid w:val="00497E09"/>
    <w:rsid w:val="004D2554"/>
    <w:rsid w:val="00577711"/>
    <w:rsid w:val="005F0D71"/>
    <w:rsid w:val="006C14BA"/>
    <w:rsid w:val="006E7BA0"/>
    <w:rsid w:val="00724144"/>
    <w:rsid w:val="00734DFA"/>
    <w:rsid w:val="008A6FB8"/>
    <w:rsid w:val="00907F07"/>
    <w:rsid w:val="00AB1E60"/>
    <w:rsid w:val="00AB2726"/>
    <w:rsid w:val="00AC0743"/>
    <w:rsid w:val="00B830BE"/>
    <w:rsid w:val="00C322DA"/>
    <w:rsid w:val="00C6661F"/>
    <w:rsid w:val="00D867B4"/>
    <w:rsid w:val="00DB03B5"/>
    <w:rsid w:val="00DD1DCA"/>
    <w:rsid w:val="00DD7B59"/>
    <w:rsid w:val="00E21656"/>
    <w:rsid w:val="00E47223"/>
    <w:rsid w:val="00E7710E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393DA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FB8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6FB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6FB8"/>
    <w:rPr>
      <w:rFonts w:ascii="Arial" w:eastAsia="Arial" w:hAnsi="Arial" w:cs="Arial"/>
      <w:color w:val="00000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A6FB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A6F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5</cp:revision>
  <cp:lastPrinted>2022-01-10T07:55:00Z</cp:lastPrinted>
  <dcterms:created xsi:type="dcterms:W3CDTF">2023-07-24T11:42:00Z</dcterms:created>
  <dcterms:modified xsi:type="dcterms:W3CDTF">2025-08-29T10:36:00Z</dcterms:modified>
</cp:coreProperties>
</file>