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D6E" w:rsidRDefault="00BB3D6E" w:rsidP="00E35D26">
      <w:pPr>
        <w:jc w:val="right"/>
      </w:pPr>
      <w:r w:rsidRPr="00535700">
        <w:rPr>
          <w:rFonts w:ascii="Arial" w:hAnsi="Arial" w:cs="Arial"/>
          <w:noProof/>
        </w:rPr>
        <w:drawing>
          <wp:inline distT="0" distB="0" distL="0" distR="0">
            <wp:extent cx="2228850" cy="6477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D26" w:rsidRPr="00E35D26" w:rsidRDefault="00E35D26" w:rsidP="00E35D26">
      <w:pPr>
        <w:jc w:val="center"/>
        <w:rPr>
          <w:b/>
        </w:rPr>
      </w:pPr>
      <w:r w:rsidRPr="00E35D26">
        <w:rPr>
          <w:b/>
        </w:rPr>
        <w:t>UPUTE ZA NATJEČAJ</w:t>
      </w:r>
    </w:p>
    <w:p w:rsidR="00E35D26" w:rsidRDefault="00E35D26" w:rsidP="00E35D26">
      <w:pPr>
        <w:jc w:val="left"/>
      </w:pPr>
      <w:r>
        <w:t xml:space="preserve">za dolaznu mobilnost nastavnog i nenastavnog osoblja između programskih i partnerskih država u okviru </w:t>
      </w:r>
      <w:proofErr w:type="spellStart"/>
      <w:r>
        <w:t>Erasmus</w:t>
      </w:r>
      <w:proofErr w:type="spellEnd"/>
      <w:r>
        <w:t>+ programa Ključne aktivnosti 1 (KA1</w:t>
      </w:r>
      <w:r w:rsidR="00C92E48">
        <w:t>71</w:t>
      </w:r>
      <w:r>
        <w:t>) -202</w:t>
      </w:r>
      <w:r w:rsidR="00BD1ECA">
        <w:t>3</w:t>
      </w:r>
      <w:r>
        <w:t>-Crna Gora</w:t>
      </w:r>
    </w:p>
    <w:p w:rsidR="008C0A91" w:rsidRDefault="008C0A91" w:rsidP="00E35D26">
      <w:pPr>
        <w:jc w:val="left"/>
      </w:pPr>
    </w:p>
    <w:p w:rsidR="00E35D26" w:rsidRDefault="00E35D26" w:rsidP="00E35D26">
      <w:pPr>
        <w:jc w:val="left"/>
        <w:rPr>
          <w:b/>
        </w:rPr>
      </w:pPr>
      <w:r w:rsidRPr="00E35D26">
        <w:rPr>
          <w:b/>
        </w:rPr>
        <w:t xml:space="preserve">SVRHA NATJEČAJA </w:t>
      </w:r>
    </w:p>
    <w:p w:rsidR="00E35D26" w:rsidRDefault="00E35D26" w:rsidP="00E35D26">
      <w:pPr>
        <w:jc w:val="left"/>
      </w:pPr>
      <w:r>
        <w:t xml:space="preserve">Glavni ciljevi ovog Natječaja su: </w:t>
      </w:r>
    </w:p>
    <w:p w:rsidR="00E35D26" w:rsidRPr="00E35D26" w:rsidRDefault="00E35D26" w:rsidP="00E35D26">
      <w:pPr>
        <w:jc w:val="left"/>
        <w:rPr>
          <w:b/>
        </w:rPr>
      </w:pPr>
      <w:r w:rsidRPr="00C92E48">
        <w:rPr>
          <w:b/>
          <w:highlight w:val="yellow"/>
        </w:rPr>
        <w:t>- podučavanje (nastavno osoblje)</w:t>
      </w:r>
      <w:r w:rsidRPr="00E35D26">
        <w:rPr>
          <w:b/>
        </w:rPr>
        <w:t xml:space="preserve"> </w:t>
      </w:r>
    </w:p>
    <w:p w:rsidR="00E35D26" w:rsidRPr="00E35D26" w:rsidRDefault="00E35D26" w:rsidP="00E35D26">
      <w:pPr>
        <w:jc w:val="left"/>
        <w:rPr>
          <w:b/>
        </w:rPr>
      </w:pPr>
      <w:r w:rsidRPr="00E35D26">
        <w:rPr>
          <w:b/>
        </w:rPr>
        <w:t xml:space="preserve">- osposobljavanje (nastavno i nenastavno osoblje) može uključivati nekoliko vrsta aktivnosti: </w:t>
      </w:r>
    </w:p>
    <w:p w:rsidR="00E35D26" w:rsidRDefault="00E35D26" w:rsidP="00E35D26">
      <w:pPr>
        <w:jc w:val="left"/>
      </w:pPr>
      <w:r>
        <w:t xml:space="preserve">- pohađanje strukturiranog tečaja/radionice stručnog usavršavanja u organizaciji inozemne visokoobrazovne ustanove; npr.: osiguranje kvalitete u visokom obrazovanju, provedba programa </w:t>
      </w:r>
      <w:proofErr w:type="spellStart"/>
      <w:r>
        <w:t>Erasmus</w:t>
      </w:r>
      <w:proofErr w:type="spellEnd"/>
      <w:r>
        <w:t xml:space="preserve">+, poboljšanje organizacijskih i komunikacijskih sposobnosti djelatnika i sve ostalo što pridonosi poboljšanju vještina, znanja/kompetencija potrebnih za obavljanje poslova u okviru postojećeg radnog mjesta </w:t>
      </w:r>
    </w:p>
    <w:p w:rsidR="00E35D26" w:rsidRDefault="00E35D26" w:rsidP="00E35D26">
      <w:pPr>
        <w:jc w:val="left"/>
      </w:pPr>
      <w:r>
        <w:t xml:space="preserve">- rad prema modelu </w:t>
      </w:r>
      <w:proofErr w:type="spellStart"/>
      <w:r>
        <w:t>job-shadowing</w:t>
      </w:r>
      <w:proofErr w:type="spellEnd"/>
      <w:r>
        <w:t xml:space="preserve">, tj. praćenja rada kolega na inozemnoj ustanovi pri obavljanju njihovih stručnih aktivnosti </w:t>
      </w:r>
    </w:p>
    <w:p w:rsidR="00E35D26" w:rsidRDefault="00E35D26" w:rsidP="00E35D26">
      <w:pPr>
        <w:jc w:val="left"/>
      </w:pPr>
      <w:r>
        <w:t xml:space="preserve">- jezični trening usmjeren na profesionalne potrebe sudionika </w:t>
      </w:r>
    </w:p>
    <w:p w:rsidR="00E35D26" w:rsidRDefault="00E35D26" w:rsidP="00E35D26">
      <w:pPr>
        <w:jc w:val="left"/>
      </w:pPr>
      <w:r>
        <w:t xml:space="preserve">aktivnosti ovog Natječaja mogu se ostvariti temeljem potpisanog </w:t>
      </w:r>
      <w:proofErr w:type="spellStart"/>
      <w:r>
        <w:t>Erasmus</w:t>
      </w:r>
      <w:proofErr w:type="spellEnd"/>
      <w:r>
        <w:t>+ bilateralnog među-institucijskog sporazuma o razmjeni studenata i osoblja za razdoblje od 2022.-2027</w:t>
      </w:r>
    </w:p>
    <w:p w:rsidR="00E35D26" w:rsidRDefault="00E35D26" w:rsidP="00E35D26">
      <w:pPr>
        <w:jc w:val="left"/>
      </w:pPr>
    </w:p>
    <w:p w:rsidR="00E35D26" w:rsidRDefault="00E35D26" w:rsidP="00E35D26">
      <w:pPr>
        <w:jc w:val="left"/>
      </w:pPr>
    </w:p>
    <w:p w:rsidR="00E35D26" w:rsidRPr="00E35D26" w:rsidRDefault="00E35D26" w:rsidP="00E35D26">
      <w:pPr>
        <w:jc w:val="left"/>
        <w:rPr>
          <w:b/>
        </w:rPr>
      </w:pPr>
      <w:r w:rsidRPr="00E35D26">
        <w:rPr>
          <w:b/>
        </w:rPr>
        <w:t xml:space="preserve">PODRUČJA MOBILNOSTI OSOBLJE </w:t>
      </w:r>
    </w:p>
    <w:p w:rsidR="00E35D26" w:rsidRDefault="00E35D26" w:rsidP="00E35D26">
      <w:pPr>
        <w:jc w:val="left"/>
      </w:pPr>
      <w:r w:rsidRPr="00C92E48">
        <w:t>Dostupne mobilnosti u svrhu podučavanja/osposobljavanja:</w:t>
      </w:r>
    </w:p>
    <w:p w:rsidR="00E35D26" w:rsidRDefault="00E35D26" w:rsidP="00E35D26">
      <w:pPr>
        <w:jc w:val="left"/>
      </w:pPr>
    </w:p>
    <w:p w:rsidR="00C92E48" w:rsidRPr="00C92E48" w:rsidRDefault="00C92E48" w:rsidP="00C92E48">
      <w:pPr>
        <w:widowControl w:val="0"/>
        <w:autoSpaceDE w:val="0"/>
        <w:autoSpaceDN w:val="0"/>
        <w:spacing w:before="0"/>
        <w:ind w:right="85"/>
        <w:jc w:val="left"/>
        <w:rPr>
          <w:rFonts w:ascii="Verdana" w:eastAsia="SimSun" w:hAnsi="Verdana" w:cs="Arial"/>
          <w:b/>
          <w:color w:val="002060"/>
          <w:sz w:val="20"/>
          <w:szCs w:val="20"/>
          <w:u w:val="single"/>
          <w:lang w:val="en-GB" w:eastAsia="en-GB"/>
        </w:rPr>
      </w:pPr>
      <w:r w:rsidRPr="00C92E48">
        <w:rPr>
          <w:rFonts w:ascii="Verdana" w:eastAsia="SimSun" w:hAnsi="Verdana" w:cs="Arial"/>
          <w:b/>
          <w:color w:val="002060"/>
          <w:sz w:val="20"/>
          <w:szCs w:val="20"/>
          <w:u w:val="single"/>
          <w:lang w:val="en-GB" w:eastAsia="en-GB"/>
        </w:rPr>
        <w:tab/>
        <w:t>ST: Staff mobility</w:t>
      </w:r>
    </w:p>
    <w:tbl>
      <w:tblPr>
        <w:tblW w:w="9540" w:type="dxa"/>
        <w:tblInd w:w="-7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1769"/>
        <w:gridCol w:w="1769"/>
        <w:gridCol w:w="1110"/>
        <w:gridCol w:w="2176"/>
        <w:gridCol w:w="1294"/>
        <w:gridCol w:w="1422"/>
      </w:tblGrid>
      <w:tr w:rsidR="00C92E48" w:rsidRPr="00C92E48" w:rsidTr="00A51F03">
        <w:trPr>
          <w:trHeight w:val="465"/>
        </w:trPr>
        <w:tc>
          <w:tcPr>
            <w:tcW w:w="1769" w:type="dxa"/>
            <w:vMerge w:val="restart"/>
            <w:shd w:val="clear" w:color="auto" w:fill="003399"/>
          </w:tcPr>
          <w:p w:rsidR="00C92E48" w:rsidRPr="00C92E48" w:rsidRDefault="00C92E48" w:rsidP="00C92E48">
            <w:pPr>
              <w:spacing w:before="0"/>
              <w:jc w:val="center"/>
              <w:rPr>
                <w:rFonts w:ascii="Verdana" w:eastAsia="SimSun" w:hAnsi="Verdana" w:cs="Arial"/>
                <w:b/>
                <w:bCs/>
                <w:color w:val="FFFFFF"/>
                <w:sz w:val="20"/>
                <w:szCs w:val="22"/>
                <w:lang w:val="en-GB" w:eastAsia="ja-JP"/>
              </w:rPr>
            </w:pPr>
            <w:r w:rsidRPr="00C92E48">
              <w:rPr>
                <w:rFonts w:ascii="Verdana" w:eastAsia="SimSun" w:hAnsi="Verdana" w:cs="Arial"/>
                <w:b/>
                <w:bCs/>
                <w:color w:val="FFFFFF"/>
                <w:sz w:val="20"/>
                <w:szCs w:val="22"/>
                <w:lang w:val="en-GB" w:eastAsia="ja-JP"/>
              </w:rPr>
              <w:t>FROM</w:t>
            </w:r>
          </w:p>
          <w:p w:rsidR="00C92E48" w:rsidRPr="00C92E48" w:rsidRDefault="00C92E48" w:rsidP="00C92E48">
            <w:pPr>
              <w:spacing w:before="0"/>
              <w:jc w:val="center"/>
              <w:rPr>
                <w:rFonts w:ascii="Verdana" w:eastAsia="SimSun" w:hAnsi="Verdana" w:cs="Arial"/>
                <w:b/>
                <w:bCs/>
                <w:color w:val="FFFFFF"/>
                <w:sz w:val="16"/>
                <w:szCs w:val="16"/>
                <w:lang w:val="en-GB" w:eastAsia="ja-JP"/>
              </w:rPr>
            </w:pPr>
            <w:r w:rsidRPr="00C92E48">
              <w:rPr>
                <w:rFonts w:ascii="Verdana" w:eastAsia="SimSun" w:hAnsi="Verdana" w:cs="Arial"/>
                <w:b/>
                <w:bCs/>
                <w:color w:val="FFFFFF"/>
                <w:sz w:val="16"/>
                <w:szCs w:val="16"/>
                <w:lang w:val="en-GB" w:eastAsia="ja-JP"/>
              </w:rPr>
              <w:t>[Erasmus code of the sending institution]</w:t>
            </w:r>
          </w:p>
        </w:tc>
        <w:tc>
          <w:tcPr>
            <w:tcW w:w="1769" w:type="dxa"/>
            <w:vMerge w:val="restart"/>
            <w:shd w:val="clear" w:color="auto" w:fill="003399"/>
          </w:tcPr>
          <w:p w:rsidR="00C92E48" w:rsidRPr="00C92E48" w:rsidRDefault="00C92E48" w:rsidP="00C92E48">
            <w:pPr>
              <w:spacing w:before="0"/>
              <w:jc w:val="center"/>
              <w:rPr>
                <w:rFonts w:ascii="Verdana" w:eastAsia="SimSun" w:hAnsi="Verdana" w:cs="Arial"/>
                <w:b/>
                <w:bCs/>
                <w:color w:val="FFFFFF"/>
                <w:sz w:val="20"/>
                <w:szCs w:val="22"/>
                <w:lang w:val="en-GB" w:eastAsia="ja-JP"/>
              </w:rPr>
            </w:pPr>
            <w:r w:rsidRPr="00C92E48">
              <w:rPr>
                <w:rFonts w:ascii="Verdana" w:eastAsia="SimSun" w:hAnsi="Verdana" w:cs="Arial"/>
                <w:b/>
                <w:bCs/>
                <w:color w:val="FFFFFF"/>
                <w:sz w:val="20"/>
                <w:szCs w:val="22"/>
                <w:lang w:val="en-GB" w:eastAsia="ja-JP"/>
              </w:rPr>
              <w:t>TO</w:t>
            </w:r>
          </w:p>
          <w:p w:rsidR="00C92E48" w:rsidRPr="00C92E48" w:rsidRDefault="00C92E48" w:rsidP="00C92E48">
            <w:pPr>
              <w:spacing w:before="0"/>
              <w:jc w:val="center"/>
              <w:rPr>
                <w:rFonts w:ascii="Verdana" w:eastAsia="SimSun" w:hAnsi="Verdana" w:cs="Arial"/>
                <w:b/>
                <w:bCs/>
                <w:color w:val="FFFFFF"/>
                <w:sz w:val="16"/>
                <w:szCs w:val="16"/>
                <w:lang w:val="en-GB" w:eastAsia="ja-JP"/>
              </w:rPr>
            </w:pPr>
            <w:r w:rsidRPr="00C92E48">
              <w:rPr>
                <w:rFonts w:ascii="Verdana" w:eastAsia="SimSun" w:hAnsi="Verdana" w:cs="Arial"/>
                <w:b/>
                <w:bCs/>
                <w:color w:val="FFFFFF"/>
                <w:sz w:val="16"/>
                <w:szCs w:val="16"/>
                <w:lang w:val="en-GB" w:eastAsia="ja-JP"/>
              </w:rPr>
              <w:t>[Erasmus code of the receiving institution]</w:t>
            </w:r>
          </w:p>
        </w:tc>
        <w:tc>
          <w:tcPr>
            <w:tcW w:w="1110" w:type="dxa"/>
            <w:vMerge w:val="restart"/>
            <w:shd w:val="clear" w:color="auto" w:fill="003399"/>
          </w:tcPr>
          <w:p w:rsidR="00C92E48" w:rsidRPr="00C92E48" w:rsidRDefault="00C92E48" w:rsidP="00C92E48">
            <w:pPr>
              <w:spacing w:before="0"/>
              <w:jc w:val="center"/>
              <w:rPr>
                <w:rFonts w:ascii="Verdana" w:eastAsia="SimSun" w:hAnsi="Verdana" w:cs="Arial"/>
                <w:b/>
                <w:bCs/>
                <w:i/>
                <w:color w:val="FFFFFF"/>
                <w:sz w:val="20"/>
                <w:szCs w:val="22"/>
                <w:lang w:val="en-GB" w:eastAsia="ja-JP"/>
              </w:rPr>
            </w:pPr>
            <w:r w:rsidRPr="00C92E48">
              <w:rPr>
                <w:rFonts w:ascii="Verdana" w:eastAsia="SimSun" w:hAnsi="Verdana" w:cs="Arial"/>
                <w:b/>
                <w:bCs/>
                <w:i/>
                <w:color w:val="FFFFFF"/>
                <w:sz w:val="20"/>
                <w:szCs w:val="22"/>
                <w:lang w:val="en-GB" w:eastAsia="ja-JP"/>
              </w:rPr>
              <w:t>Subject area code</w:t>
            </w:r>
          </w:p>
          <w:p w:rsidR="00C92E48" w:rsidRPr="00C92E48" w:rsidRDefault="00C92E48" w:rsidP="00C92E48">
            <w:pPr>
              <w:spacing w:before="0"/>
              <w:jc w:val="center"/>
              <w:rPr>
                <w:rFonts w:ascii="Verdana" w:eastAsia="SimSun" w:hAnsi="Verdana" w:cs="Arial"/>
                <w:b/>
                <w:bCs/>
                <w:i/>
                <w:color w:val="FFFFFF"/>
                <w:sz w:val="20"/>
                <w:szCs w:val="22"/>
                <w:lang w:val="en-GB" w:eastAsia="ja-JP"/>
              </w:rPr>
            </w:pPr>
            <w:r w:rsidRPr="00C92E48">
              <w:rPr>
                <w:rFonts w:ascii="Verdana" w:eastAsia="SimSun" w:hAnsi="Verdana" w:cs="Arial"/>
                <w:b/>
                <w:bCs/>
                <w:color w:val="FFFFFF"/>
                <w:sz w:val="16"/>
                <w:szCs w:val="16"/>
                <w:lang w:val="en-GB" w:eastAsia="ja-JP"/>
              </w:rPr>
              <w:t>[ISCED]</w:t>
            </w:r>
          </w:p>
        </w:tc>
        <w:tc>
          <w:tcPr>
            <w:tcW w:w="2176" w:type="dxa"/>
            <w:vMerge w:val="restart"/>
            <w:shd w:val="clear" w:color="auto" w:fill="003399"/>
          </w:tcPr>
          <w:p w:rsidR="00C92E48" w:rsidRPr="00C92E48" w:rsidRDefault="00C92E48" w:rsidP="00C92E48">
            <w:pPr>
              <w:spacing w:before="0"/>
              <w:jc w:val="center"/>
              <w:rPr>
                <w:rFonts w:ascii="Verdana" w:eastAsia="SimSun" w:hAnsi="Verdana" w:cs="Arial"/>
                <w:b/>
                <w:bCs/>
                <w:i/>
                <w:color w:val="FFFFFF"/>
                <w:sz w:val="20"/>
                <w:szCs w:val="22"/>
                <w:lang w:val="en-GB" w:eastAsia="ja-JP"/>
              </w:rPr>
            </w:pPr>
            <w:r w:rsidRPr="00C92E48">
              <w:rPr>
                <w:rFonts w:ascii="Verdana" w:eastAsia="SimSun" w:hAnsi="Verdana" w:cs="Arial"/>
                <w:b/>
                <w:bCs/>
                <w:i/>
                <w:color w:val="FFFFFF"/>
                <w:sz w:val="20"/>
                <w:szCs w:val="22"/>
                <w:lang w:val="en-GB" w:eastAsia="ja-JP"/>
              </w:rPr>
              <w:t>Subject area name</w:t>
            </w:r>
          </w:p>
        </w:tc>
        <w:tc>
          <w:tcPr>
            <w:tcW w:w="2716" w:type="dxa"/>
            <w:gridSpan w:val="2"/>
            <w:shd w:val="clear" w:color="auto" w:fill="003399"/>
          </w:tcPr>
          <w:p w:rsidR="00C92E48" w:rsidRPr="00C92E48" w:rsidRDefault="00C92E48" w:rsidP="00C92E48">
            <w:pPr>
              <w:spacing w:before="0"/>
              <w:jc w:val="center"/>
              <w:rPr>
                <w:rFonts w:ascii="Verdana" w:eastAsia="SimSun" w:hAnsi="Verdana" w:cs="Arial"/>
                <w:b/>
                <w:bCs/>
                <w:color w:val="FFFFFF"/>
                <w:sz w:val="20"/>
                <w:szCs w:val="22"/>
                <w:lang w:val="en-GB" w:eastAsia="ja-JP"/>
              </w:rPr>
            </w:pPr>
            <w:r w:rsidRPr="00C92E48">
              <w:rPr>
                <w:rFonts w:ascii="Verdana" w:eastAsia="SimSun" w:hAnsi="Verdana" w:cs="Arial"/>
                <w:b/>
                <w:bCs/>
                <w:color w:val="FFFFFF"/>
                <w:sz w:val="20"/>
                <w:szCs w:val="22"/>
                <w:lang w:val="en-GB" w:eastAsia="ja-JP"/>
              </w:rPr>
              <w:t>Number of staff mobility periods</w:t>
            </w:r>
          </w:p>
        </w:tc>
      </w:tr>
      <w:tr w:rsidR="00C92E48" w:rsidRPr="00C92E48" w:rsidTr="00A51F03">
        <w:trPr>
          <w:trHeight w:val="434"/>
        </w:trPr>
        <w:tc>
          <w:tcPr>
            <w:tcW w:w="1769" w:type="dxa"/>
            <w:vMerge/>
            <w:shd w:val="clear" w:color="auto" w:fill="003399"/>
          </w:tcPr>
          <w:p w:rsidR="00C92E48" w:rsidRPr="00C92E48" w:rsidRDefault="00C92E48" w:rsidP="00C92E48">
            <w:pPr>
              <w:spacing w:before="0"/>
              <w:jc w:val="left"/>
              <w:rPr>
                <w:rFonts w:ascii="Verdana" w:eastAsia="SimSun" w:hAnsi="Verdana" w:cs="Arial"/>
                <w:sz w:val="20"/>
                <w:szCs w:val="22"/>
                <w:lang w:val="en-GB" w:eastAsia="ja-JP"/>
              </w:rPr>
            </w:pPr>
          </w:p>
        </w:tc>
        <w:tc>
          <w:tcPr>
            <w:tcW w:w="1769" w:type="dxa"/>
            <w:vMerge/>
            <w:shd w:val="clear" w:color="auto" w:fill="003399"/>
          </w:tcPr>
          <w:p w:rsidR="00C92E48" w:rsidRPr="00C92E48" w:rsidRDefault="00C92E48" w:rsidP="00C92E48">
            <w:pPr>
              <w:spacing w:before="0"/>
              <w:jc w:val="left"/>
              <w:rPr>
                <w:rFonts w:ascii="Verdana" w:eastAsia="SimSun" w:hAnsi="Verdana" w:cs="Arial"/>
                <w:sz w:val="20"/>
                <w:szCs w:val="22"/>
                <w:lang w:val="en-GB" w:eastAsia="ja-JP"/>
              </w:rPr>
            </w:pPr>
          </w:p>
        </w:tc>
        <w:tc>
          <w:tcPr>
            <w:tcW w:w="1110" w:type="dxa"/>
            <w:vMerge/>
            <w:shd w:val="clear" w:color="auto" w:fill="003399"/>
          </w:tcPr>
          <w:p w:rsidR="00C92E48" w:rsidRPr="00C92E48" w:rsidRDefault="00C92E48" w:rsidP="00C92E48">
            <w:pPr>
              <w:spacing w:before="0"/>
              <w:jc w:val="left"/>
              <w:rPr>
                <w:rFonts w:ascii="Verdana" w:eastAsia="SimSun" w:hAnsi="Verdana" w:cs="Arial"/>
                <w:sz w:val="20"/>
                <w:szCs w:val="22"/>
                <w:lang w:val="en-GB" w:eastAsia="ja-JP"/>
              </w:rPr>
            </w:pPr>
          </w:p>
        </w:tc>
        <w:tc>
          <w:tcPr>
            <w:tcW w:w="2176" w:type="dxa"/>
            <w:vMerge/>
            <w:shd w:val="clear" w:color="auto" w:fill="003399"/>
          </w:tcPr>
          <w:p w:rsidR="00C92E48" w:rsidRPr="00C92E48" w:rsidRDefault="00C92E48" w:rsidP="00C92E48">
            <w:pPr>
              <w:spacing w:before="0"/>
              <w:jc w:val="center"/>
              <w:rPr>
                <w:rFonts w:ascii="Verdana" w:eastAsia="SimSun" w:hAnsi="Verdana" w:cs="Arial"/>
                <w:color w:val="FFFFFF"/>
                <w:sz w:val="20"/>
                <w:szCs w:val="22"/>
                <w:lang w:val="en-GB" w:eastAsia="ja-JP"/>
              </w:rPr>
            </w:pPr>
          </w:p>
        </w:tc>
        <w:tc>
          <w:tcPr>
            <w:tcW w:w="1294" w:type="dxa"/>
            <w:shd w:val="clear" w:color="auto" w:fill="003399"/>
          </w:tcPr>
          <w:p w:rsidR="00C92E48" w:rsidRPr="00C92E48" w:rsidRDefault="00C92E48" w:rsidP="00C92E48">
            <w:pPr>
              <w:spacing w:before="0"/>
              <w:jc w:val="center"/>
              <w:rPr>
                <w:rFonts w:ascii="Verdana" w:eastAsia="SimSun" w:hAnsi="Verdana" w:cs="Arial"/>
                <w:i/>
                <w:color w:val="FFFFFF"/>
                <w:sz w:val="18"/>
                <w:szCs w:val="18"/>
                <w:lang w:val="en-GB" w:eastAsia="ja-JP"/>
              </w:rPr>
            </w:pPr>
            <w:r w:rsidRPr="00C92E48">
              <w:rPr>
                <w:rFonts w:ascii="Verdana" w:eastAsia="SimSun" w:hAnsi="Verdana" w:cs="Arial"/>
                <w:color w:val="FFFFFF"/>
                <w:sz w:val="18"/>
                <w:szCs w:val="18"/>
                <w:lang w:val="en-GB" w:eastAsia="ja-JP"/>
              </w:rPr>
              <w:t>Staff Mobility for Teaching</w:t>
            </w:r>
          </w:p>
        </w:tc>
        <w:tc>
          <w:tcPr>
            <w:tcW w:w="1422" w:type="dxa"/>
            <w:shd w:val="clear" w:color="auto" w:fill="003399"/>
          </w:tcPr>
          <w:p w:rsidR="00C92E48" w:rsidRPr="00C92E48" w:rsidRDefault="00C92E48" w:rsidP="00C92E48">
            <w:pPr>
              <w:spacing w:before="0"/>
              <w:jc w:val="center"/>
              <w:rPr>
                <w:rFonts w:ascii="Verdana" w:eastAsia="SimSun" w:hAnsi="Verdana" w:cs="Arial"/>
                <w:color w:val="FFFFFF"/>
                <w:sz w:val="18"/>
                <w:szCs w:val="18"/>
                <w:lang w:val="en-GB" w:eastAsia="ja-JP"/>
              </w:rPr>
            </w:pPr>
            <w:r w:rsidRPr="00C92E48">
              <w:rPr>
                <w:rFonts w:ascii="Verdana" w:eastAsia="SimSun" w:hAnsi="Verdana" w:cs="Arial"/>
                <w:i/>
                <w:color w:val="FFFFFF"/>
                <w:sz w:val="18"/>
                <w:szCs w:val="18"/>
                <w:lang w:val="en-GB" w:eastAsia="ja-JP"/>
              </w:rPr>
              <w:t>Staff Mobility for Training</w:t>
            </w:r>
          </w:p>
        </w:tc>
      </w:tr>
      <w:tr w:rsidR="00C92E48" w:rsidRPr="00C92E48" w:rsidTr="00A51F03">
        <w:trPr>
          <w:trHeight w:val="558"/>
        </w:trPr>
        <w:tc>
          <w:tcPr>
            <w:tcW w:w="1769" w:type="dxa"/>
            <w:vAlign w:val="center"/>
          </w:tcPr>
          <w:p w:rsidR="00C92E48" w:rsidRPr="00C92E48" w:rsidRDefault="00C92E48" w:rsidP="00C92E48">
            <w:pPr>
              <w:spacing w:before="0"/>
              <w:jc w:val="left"/>
              <w:rPr>
                <w:rFonts w:ascii="Verdana" w:eastAsia="SimSun" w:hAnsi="Verdana" w:cs="Arial"/>
                <w:sz w:val="18"/>
                <w:szCs w:val="18"/>
                <w:lang w:val="en-GB" w:eastAsia="ja-JP"/>
              </w:rPr>
            </w:pPr>
          </w:p>
        </w:tc>
        <w:tc>
          <w:tcPr>
            <w:tcW w:w="1769" w:type="dxa"/>
            <w:vAlign w:val="center"/>
          </w:tcPr>
          <w:p w:rsidR="00C92E48" w:rsidRPr="00C92E48" w:rsidRDefault="00C92E48" w:rsidP="00C92E48">
            <w:pPr>
              <w:spacing w:before="0"/>
              <w:jc w:val="left"/>
              <w:rPr>
                <w:rFonts w:ascii="Verdana" w:eastAsia="SimSun" w:hAnsi="Verdana" w:cs="Arial"/>
                <w:sz w:val="18"/>
                <w:szCs w:val="18"/>
                <w:lang w:val="en-GB" w:eastAsia="ja-JP"/>
              </w:rPr>
            </w:pPr>
          </w:p>
        </w:tc>
        <w:tc>
          <w:tcPr>
            <w:tcW w:w="1110" w:type="dxa"/>
            <w:vAlign w:val="center"/>
          </w:tcPr>
          <w:p w:rsidR="00C92E48" w:rsidRPr="00C92E48" w:rsidRDefault="00C92E48" w:rsidP="00C92E48">
            <w:pPr>
              <w:spacing w:before="0"/>
              <w:jc w:val="left"/>
              <w:rPr>
                <w:rFonts w:ascii="Verdana" w:eastAsia="SimSun" w:hAnsi="Verdana" w:cs="Arial"/>
                <w:sz w:val="18"/>
                <w:szCs w:val="18"/>
                <w:lang w:val="en-GB" w:eastAsia="ja-JP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C92E48" w:rsidRPr="00C92E48" w:rsidRDefault="00C92E48" w:rsidP="00C92E48">
            <w:pPr>
              <w:spacing w:before="0"/>
              <w:jc w:val="left"/>
              <w:rPr>
                <w:rFonts w:ascii="Verdana" w:eastAsia="SimSun" w:hAnsi="Verdana" w:cs="Arial"/>
                <w:sz w:val="18"/>
                <w:szCs w:val="18"/>
                <w:lang w:val="en-GB" w:eastAsia="ja-JP"/>
              </w:rPr>
            </w:pPr>
          </w:p>
        </w:tc>
        <w:tc>
          <w:tcPr>
            <w:tcW w:w="1294" w:type="dxa"/>
            <w:tcBorders>
              <w:bottom w:val="single" w:sz="6" w:space="0" w:color="000080"/>
            </w:tcBorders>
            <w:vAlign w:val="center"/>
          </w:tcPr>
          <w:p w:rsidR="00C92E48" w:rsidRPr="00C92E48" w:rsidRDefault="00C92E48" w:rsidP="00C92E48">
            <w:pPr>
              <w:spacing w:before="0"/>
              <w:jc w:val="left"/>
              <w:rPr>
                <w:rFonts w:ascii="Verdana" w:eastAsia="SimSun" w:hAnsi="Verdana" w:cs="Arial"/>
                <w:sz w:val="18"/>
                <w:szCs w:val="18"/>
                <w:lang w:val="en-GB" w:eastAsia="ja-JP"/>
              </w:rPr>
            </w:pPr>
          </w:p>
        </w:tc>
        <w:tc>
          <w:tcPr>
            <w:tcW w:w="1422" w:type="dxa"/>
            <w:tcBorders>
              <w:bottom w:val="single" w:sz="6" w:space="0" w:color="000080"/>
            </w:tcBorders>
            <w:vAlign w:val="center"/>
          </w:tcPr>
          <w:p w:rsidR="00C92E48" w:rsidRPr="00C92E48" w:rsidRDefault="00C92E48" w:rsidP="00C92E48">
            <w:pPr>
              <w:spacing w:before="0"/>
              <w:jc w:val="left"/>
              <w:rPr>
                <w:rFonts w:ascii="Verdana" w:eastAsia="SimSun" w:hAnsi="Verdana" w:cs="Arial"/>
                <w:sz w:val="18"/>
                <w:szCs w:val="18"/>
                <w:lang w:val="en-GB" w:eastAsia="ja-JP"/>
              </w:rPr>
            </w:pPr>
          </w:p>
        </w:tc>
      </w:tr>
      <w:tr w:rsidR="00C92E48" w:rsidRPr="00C92E48" w:rsidTr="00A51F03">
        <w:trPr>
          <w:trHeight w:val="551"/>
        </w:trPr>
        <w:tc>
          <w:tcPr>
            <w:tcW w:w="1769" w:type="dxa"/>
            <w:tcBorders>
              <w:bottom w:val="single" w:sz="6" w:space="0" w:color="000080"/>
            </w:tcBorders>
            <w:vAlign w:val="center"/>
          </w:tcPr>
          <w:p w:rsidR="00C92E48" w:rsidRPr="00C92E48" w:rsidRDefault="00C92E48" w:rsidP="00C92E48">
            <w:pPr>
              <w:spacing w:before="0"/>
              <w:jc w:val="left"/>
              <w:rPr>
                <w:rFonts w:ascii="Verdana" w:eastAsia="SimSun" w:hAnsi="Verdana" w:cs="Arial"/>
                <w:sz w:val="18"/>
                <w:szCs w:val="18"/>
                <w:lang w:val="en-GB" w:eastAsia="ja-JP"/>
              </w:rPr>
            </w:pPr>
            <w:r w:rsidRPr="00C92E48">
              <w:rPr>
                <w:rFonts w:ascii="Verdana" w:eastAsia="SimSun" w:hAnsi="Verdana" w:cs="Arial"/>
                <w:sz w:val="18"/>
                <w:szCs w:val="18"/>
                <w:lang w:val="en-GB" w:eastAsia="ja-JP"/>
              </w:rPr>
              <w:t>E10203437</w:t>
            </w:r>
          </w:p>
        </w:tc>
        <w:tc>
          <w:tcPr>
            <w:tcW w:w="1769" w:type="dxa"/>
            <w:tcBorders>
              <w:bottom w:val="single" w:sz="6" w:space="0" w:color="000080"/>
            </w:tcBorders>
            <w:vAlign w:val="center"/>
          </w:tcPr>
          <w:p w:rsidR="00C92E48" w:rsidRPr="00C92E48" w:rsidRDefault="00C92E48" w:rsidP="00C92E48">
            <w:pPr>
              <w:spacing w:before="0"/>
              <w:jc w:val="left"/>
              <w:rPr>
                <w:rFonts w:ascii="Verdana" w:eastAsia="SimSun" w:hAnsi="Verdana" w:cs="Arial"/>
                <w:sz w:val="18"/>
                <w:szCs w:val="18"/>
                <w:lang w:val="en-GB" w:eastAsia="ja-JP"/>
              </w:rPr>
            </w:pPr>
            <w:r w:rsidRPr="00C92E48">
              <w:rPr>
                <w:rFonts w:ascii="Verdana" w:eastAsia="SimSun" w:hAnsi="Verdana" w:cs="Arial"/>
                <w:sz w:val="18"/>
                <w:szCs w:val="18"/>
                <w:lang w:val="en-GB" w:eastAsia="ja-JP"/>
              </w:rPr>
              <w:t>HR SPLIT04</w:t>
            </w:r>
          </w:p>
        </w:tc>
        <w:tc>
          <w:tcPr>
            <w:tcW w:w="1110" w:type="dxa"/>
            <w:vAlign w:val="center"/>
          </w:tcPr>
          <w:p w:rsidR="00C92E48" w:rsidRPr="00C92E48" w:rsidRDefault="00C92E48" w:rsidP="00C92E48">
            <w:pPr>
              <w:spacing w:before="0"/>
              <w:jc w:val="left"/>
              <w:rPr>
                <w:rFonts w:ascii="Verdana" w:eastAsia="SimSun" w:hAnsi="Verdana" w:cs="Arial"/>
                <w:sz w:val="18"/>
                <w:szCs w:val="18"/>
                <w:lang w:val="en-GB" w:eastAsia="ja-JP"/>
              </w:rPr>
            </w:pPr>
            <w:r w:rsidRPr="00C92E48">
              <w:rPr>
                <w:rFonts w:ascii="Verdana" w:eastAsia="SimSun" w:hAnsi="Verdana" w:cs="Arial"/>
                <w:sz w:val="18"/>
                <w:szCs w:val="18"/>
                <w:lang w:val="en-GB" w:eastAsia="ja-JP"/>
              </w:rPr>
              <w:t>0410</w:t>
            </w:r>
          </w:p>
        </w:tc>
        <w:tc>
          <w:tcPr>
            <w:tcW w:w="2176" w:type="dxa"/>
            <w:tcBorders>
              <w:bottom w:val="single" w:sz="6" w:space="0" w:color="000080"/>
            </w:tcBorders>
            <w:shd w:val="clear" w:color="auto" w:fill="auto"/>
            <w:vAlign w:val="center"/>
          </w:tcPr>
          <w:p w:rsidR="00C92E48" w:rsidRPr="00C92E48" w:rsidRDefault="00C92E48" w:rsidP="00C92E48">
            <w:pPr>
              <w:spacing w:before="0"/>
              <w:jc w:val="left"/>
              <w:rPr>
                <w:rFonts w:ascii="Verdana" w:eastAsia="SimSun" w:hAnsi="Verdana" w:cs="Arial"/>
                <w:sz w:val="18"/>
                <w:szCs w:val="18"/>
                <w:lang w:val="en-GB" w:eastAsia="ja-JP"/>
              </w:rPr>
            </w:pPr>
            <w:r w:rsidRPr="00C92E48">
              <w:rPr>
                <w:rFonts w:ascii="Verdana" w:eastAsia="SimSun" w:hAnsi="Verdana" w:cs="Arial"/>
                <w:sz w:val="18"/>
                <w:szCs w:val="18"/>
                <w:lang w:val="en-GB" w:eastAsia="ja-JP"/>
              </w:rPr>
              <w:t>Business &amp; Management</w:t>
            </w:r>
          </w:p>
        </w:tc>
        <w:tc>
          <w:tcPr>
            <w:tcW w:w="1294" w:type="dxa"/>
            <w:tcBorders>
              <w:bottom w:val="single" w:sz="6" w:space="0" w:color="000080"/>
            </w:tcBorders>
            <w:vAlign w:val="center"/>
          </w:tcPr>
          <w:p w:rsidR="00C92E48" w:rsidRPr="00C92E48" w:rsidRDefault="00BD1ECA" w:rsidP="00C92E48">
            <w:pPr>
              <w:spacing w:before="0"/>
              <w:jc w:val="left"/>
              <w:rPr>
                <w:rFonts w:ascii="Verdana" w:eastAsia="SimSun" w:hAnsi="Verdana" w:cs="Arial"/>
                <w:sz w:val="18"/>
                <w:szCs w:val="18"/>
                <w:lang w:val="en-GB" w:eastAsia="ja-JP"/>
              </w:rPr>
            </w:pPr>
            <w:r>
              <w:rPr>
                <w:rFonts w:ascii="Verdana" w:eastAsia="SimSun" w:hAnsi="Verdana" w:cs="Arial"/>
                <w:sz w:val="18"/>
                <w:szCs w:val="18"/>
                <w:lang w:val="en-GB" w:eastAsia="ja-JP"/>
              </w:rPr>
              <w:t>1</w:t>
            </w:r>
            <w:r w:rsidR="00C92E48" w:rsidRPr="00C92E48">
              <w:rPr>
                <w:rFonts w:ascii="Verdana" w:eastAsia="SimSun" w:hAnsi="Verdana" w:cs="Arial"/>
                <w:sz w:val="18"/>
                <w:szCs w:val="18"/>
                <w:lang w:val="en-GB" w:eastAsia="ja-JP"/>
              </w:rPr>
              <w:t>x 1 week</w:t>
            </w:r>
          </w:p>
        </w:tc>
        <w:tc>
          <w:tcPr>
            <w:tcW w:w="1422" w:type="dxa"/>
            <w:tcBorders>
              <w:bottom w:val="single" w:sz="6" w:space="0" w:color="000080"/>
            </w:tcBorders>
            <w:vAlign w:val="center"/>
          </w:tcPr>
          <w:p w:rsidR="00C92E48" w:rsidRPr="00C92E48" w:rsidRDefault="00C92E48" w:rsidP="00C92E48">
            <w:pPr>
              <w:spacing w:before="0"/>
              <w:jc w:val="left"/>
              <w:rPr>
                <w:rFonts w:ascii="Verdana" w:eastAsia="SimSun" w:hAnsi="Verdana" w:cs="Arial"/>
                <w:sz w:val="18"/>
                <w:szCs w:val="18"/>
                <w:lang w:val="en-GB" w:eastAsia="ja-JP"/>
              </w:rPr>
            </w:pPr>
          </w:p>
        </w:tc>
      </w:tr>
    </w:tbl>
    <w:p w:rsidR="00C92E48" w:rsidRPr="00C92E48" w:rsidRDefault="00C92E48" w:rsidP="00C92E48">
      <w:pPr>
        <w:spacing w:before="0" w:after="160" w:line="259" w:lineRule="auto"/>
        <w:rPr>
          <w:rFonts w:ascii="Verdana" w:eastAsia="SimSun" w:hAnsi="Verdana" w:cs="Arial"/>
          <w:i/>
          <w:sz w:val="18"/>
          <w:szCs w:val="18"/>
          <w:lang w:val="en-GB" w:eastAsia="ja-JP"/>
        </w:rPr>
      </w:pPr>
      <w:r w:rsidRPr="00C92E48">
        <w:rPr>
          <w:rFonts w:ascii="Verdana" w:eastAsia="SimSun" w:hAnsi="Verdana" w:cs="Arial"/>
          <w:i/>
          <w:sz w:val="18"/>
          <w:szCs w:val="18"/>
          <w:lang w:val="en-GB" w:eastAsia="ja-JP"/>
        </w:rPr>
        <w:br/>
      </w:r>
    </w:p>
    <w:p w:rsidR="00BD1ECA" w:rsidRDefault="00BD1ECA" w:rsidP="00E35D26">
      <w:pPr>
        <w:jc w:val="left"/>
      </w:pPr>
      <w:r>
        <w:lastRenderedPageBreak/>
        <w:t xml:space="preserve">TRAJANJE MOBILNOSTI </w:t>
      </w:r>
    </w:p>
    <w:p w:rsidR="00BD1ECA" w:rsidRDefault="00BD1ECA" w:rsidP="00BD1ECA">
      <w:r>
        <w:t xml:space="preserve">U svrhu podučavanja najkraće trajanje mobilnosti iznosi 5 dana, a najduže 60 dana, uz obvezu održavanja najmanje 8 sati nastave tjedno, ako se ne radi o kombiniranoj mobilnosti. </w:t>
      </w:r>
    </w:p>
    <w:p w:rsidR="00BD1ECA" w:rsidRDefault="00BD1ECA" w:rsidP="00BD1ECA">
      <w:r>
        <w:t xml:space="preserve">U svrhu osposobljavanja najkraće trajanje mobilnosti iznosi 5 dana, a najduže 60 dana. </w:t>
      </w:r>
    </w:p>
    <w:p w:rsidR="00BD1ECA" w:rsidRDefault="00BD1ECA" w:rsidP="00BD1ECA">
      <w:r>
        <w:t xml:space="preserve">Mobilnost se mora odvijati u kontinuitetu. Ako predloženi datumi mobilnosti uključuju dane vikenda, isti moraju biti ispunjeni aktivnostima u </w:t>
      </w:r>
      <w:proofErr w:type="spellStart"/>
      <w:r>
        <w:t>Mobility</w:t>
      </w:r>
      <w:proofErr w:type="spellEnd"/>
      <w:r>
        <w:t xml:space="preserve"> </w:t>
      </w:r>
      <w:proofErr w:type="spellStart"/>
      <w:r>
        <w:t>Agreementu</w:t>
      </w:r>
      <w:proofErr w:type="spellEnd"/>
      <w:r>
        <w:t xml:space="preserve"> kako bi mogli biti financirani.</w:t>
      </w:r>
    </w:p>
    <w:p w:rsidR="00E35D26" w:rsidRDefault="00BD1ECA" w:rsidP="00BD1ECA">
      <w:r>
        <w:t>Zatraženi broj dana mobilnosti treba biti u skladu s dodijeljenim brojem dana po navedenom sporazumu u određenoj partnerskoj zemlji.</w:t>
      </w:r>
    </w:p>
    <w:p w:rsidR="00BD1ECA" w:rsidRDefault="00BD1ECA" w:rsidP="00BD1ECA"/>
    <w:p w:rsidR="00BD1ECA" w:rsidRDefault="00BD1ECA" w:rsidP="00BD1ECA">
      <w:r>
        <w:t xml:space="preserve">Napomena: </w:t>
      </w:r>
    </w:p>
    <w:p w:rsidR="00BD1ECA" w:rsidRDefault="00BD1ECA" w:rsidP="00BD1ECA">
      <w:r>
        <w:t xml:space="preserve">Ako u trenutku prijave nisu poznati točni datumi mobilnosti, prijavitelj mora upisati procjenu razdoblja mobilnosti, npr. određeni mjesec u godini ili slično. Prijavitelj je dužan obavijestiti nadležne osobe o točnim datumima planirane mobilnosti odmah po saznanju i u najkraćem mogućem roku te za zatraženo razdoblje dobiti njihovu suglasnost. </w:t>
      </w:r>
    </w:p>
    <w:p w:rsidR="00BD1ECA" w:rsidRDefault="00BD1ECA" w:rsidP="00BD1ECA">
      <w:r>
        <w:t xml:space="preserve">FINANCIJSKA POTPORA </w:t>
      </w:r>
    </w:p>
    <w:p w:rsidR="00BD1ECA" w:rsidRDefault="00BD1ECA" w:rsidP="00BD1ECA">
      <w:proofErr w:type="spellStart"/>
      <w:r>
        <w:t>Erasmus</w:t>
      </w:r>
      <w:proofErr w:type="spellEnd"/>
      <w:r>
        <w:t>+ dnevnica je 180,00 eura do 14. dana mobilnosti, a od 15. dana 126,00 eura, dok se putni troškovi dodjeljuju na temelju udaljenosti do odredišta mobilnosti (vidjeti dokument Iznosi financijske potpore) u obliku paušalnog iznosa. Udaljenost u kilometrima računa se pomoću kalkulatora objavljenog na stranicama Europske komisije (http://ec.europa.eu/programmes/erasmus-plus/tools/distance_en.htm). Iznos za troškove puta izračunava se na temelju kalkulatorom određene zračne udaljenosti između polazišta i destinacije u jednom smjeru, a doprinos trošku se odnosi na dvosmjerno putovanje. Osoblje je dužno čuvati putnu dokumentaciju za potrebe obračuna putnog naloga. Putni nalog se otvara na sastavnici. U putne troškove ne uračunavaju se troškovi nastali uslijed otkaza putovanja niti troškovi putnog osiguranja. Broj dodijeljenih financijskih potpora-</w:t>
      </w:r>
      <w:proofErr w:type="spellStart"/>
      <w:r>
        <w:t>granta</w:t>
      </w:r>
      <w:proofErr w:type="spellEnd"/>
      <w:r>
        <w:t xml:space="preserve"> ovisi o broju prijavljenih kandidata, trajanju mobilnosti te o osiguranim financijskim sredstvima.</w:t>
      </w:r>
    </w:p>
    <w:p w:rsidR="00BD1ECA" w:rsidRDefault="00BD1ECA" w:rsidP="00BD1ECA"/>
    <w:p w:rsidR="00BD1ECA" w:rsidRDefault="00BD1ECA" w:rsidP="00BD1ECA">
      <w:r>
        <w:rPr>
          <w:noProof/>
        </w:rPr>
        <w:drawing>
          <wp:inline distT="0" distB="0" distL="0" distR="0" wp14:anchorId="1586A0E8" wp14:editId="0C5B030E">
            <wp:extent cx="4848225" cy="196215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ECA" w:rsidRDefault="00BD1ECA" w:rsidP="00BD1ECA"/>
    <w:p w:rsidR="00BD1ECA" w:rsidRDefault="00BD1ECA" w:rsidP="00BD1ECA"/>
    <w:p w:rsidR="00BD1ECA" w:rsidRDefault="00BD1ECA" w:rsidP="00BD1ECA">
      <w:r>
        <w:lastRenderedPageBreak/>
        <w:t xml:space="preserve">ISPLATA FINANCIJSKE POTPORE </w:t>
      </w:r>
    </w:p>
    <w:p w:rsidR="00BD1ECA" w:rsidRDefault="00BD1ECA" w:rsidP="00BD1ECA">
      <w:r>
        <w:t xml:space="preserve">Osobe kojima će se dodijeliti financijska potpora za mobilnost sklopit će </w:t>
      </w:r>
      <w:r>
        <w:t xml:space="preserve">s Veleučilištem </w:t>
      </w:r>
      <w:r>
        <w:t xml:space="preserve">Ugovor o dodjeli financijske potpore za </w:t>
      </w:r>
      <w:proofErr w:type="spellStart"/>
      <w:r>
        <w:t>Erasmus</w:t>
      </w:r>
      <w:proofErr w:type="spellEnd"/>
      <w:r>
        <w:t xml:space="preserve">+ mobilnost osoblja u svrhu podučavanja/osposobljavanja kojim se reguliraju međusobna prava i obveze Korisnika u pogledu boravka u inozemstvu. </w:t>
      </w:r>
    </w:p>
    <w:p w:rsidR="00BD1ECA" w:rsidRDefault="00BD1ECA" w:rsidP="00BD1ECA">
      <w:r>
        <w:t xml:space="preserve">Veleučilište Arca </w:t>
      </w:r>
      <w:r>
        <w:t xml:space="preserve">se obvezuje na </w:t>
      </w:r>
      <w:r>
        <w:t xml:space="preserve">tekući </w:t>
      </w:r>
      <w:r>
        <w:t xml:space="preserve">račun, uz nalog za prijenos sredstava, isplatiti financijsku potporu za Korisnika. Ovaj iznos će </w:t>
      </w:r>
      <w:r>
        <w:t xml:space="preserve">Veleučilište Arca </w:t>
      </w:r>
      <w:r>
        <w:t xml:space="preserve"> isplatiti za Korisnika prema važećim zakonima i propisima Republike Hrvatske koji uređuju pitanje financijskog poslovanja te prema pravilima koja će objaviti Agencija za mobilnost i programe EU. Financijska potpora isplatit će se za Korisnika na žiro račun sastavnice najkasnije u roku od 30 kalendarskih dana od dana stupanja na snagu Ugovora o dodjeli financijske potpore za </w:t>
      </w:r>
      <w:proofErr w:type="spellStart"/>
      <w:r>
        <w:t>Erasmus</w:t>
      </w:r>
      <w:proofErr w:type="spellEnd"/>
      <w:r>
        <w:t xml:space="preserve">+ mobilnost osoblja u svrhu podučavanja/osposobljavanja. </w:t>
      </w:r>
    </w:p>
    <w:p w:rsidR="00BD1ECA" w:rsidRDefault="00BD1ECA" w:rsidP="00BD1ECA"/>
    <w:p w:rsidR="00BD1ECA" w:rsidRDefault="00BD1ECA" w:rsidP="00BD1ECA">
      <w:r>
        <w:t xml:space="preserve">OSIGURANJE </w:t>
      </w:r>
    </w:p>
    <w:p w:rsidR="00BD1ECA" w:rsidRDefault="00BD1ECA" w:rsidP="00BD1ECA">
      <w:r>
        <w:t>Osoblje je dužno sklopiti policu zdravstvenog osiguranja za cijelo vrijeme boravka u inozemstvu.</w:t>
      </w:r>
    </w:p>
    <w:p w:rsidR="00BD1ECA" w:rsidRDefault="00BD1ECA" w:rsidP="00BD1ECA">
      <w:r>
        <w:t xml:space="preserve">VIZA </w:t>
      </w:r>
    </w:p>
    <w:p w:rsidR="00BD1ECA" w:rsidRDefault="00BD1ECA" w:rsidP="00BD1ECA">
      <w:r>
        <w:t>Ako je potrebna viza za boravak u inozemstvu Korisnik financijske potpore dužan je sam ishoditi vizu u svrhu podučavanja/osposobljavanja na inozemnoj visokoškolskoj ustanovi. Odjel za međunarodnu i međusveučilišnu suradnju će pružiti podršku u pružanju informacija.</w:t>
      </w:r>
    </w:p>
    <w:p w:rsidR="00BD1ECA" w:rsidRDefault="00BD1ECA" w:rsidP="00BD1ECA"/>
    <w:p w:rsidR="00BD1ECA" w:rsidRDefault="00BD1ECA" w:rsidP="00BD1ECA">
      <w:r>
        <w:t xml:space="preserve">PROMJENA INSTITUCIJE </w:t>
      </w:r>
    </w:p>
    <w:p w:rsidR="00BD1ECA" w:rsidRDefault="00BD1ECA" w:rsidP="00BD1ECA">
      <w:r>
        <w:t xml:space="preserve">Naknadna promjena natječajem odobrene institucije nije moguća. </w:t>
      </w:r>
    </w:p>
    <w:p w:rsidR="00BD1ECA" w:rsidRDefault="00BD1ECA" w:rsidP="00BD1ECA"/>
    <w:p w:rsidR="00BD1ECA" w:rsidRDefault="00BD1ECA" w:rsidP="00BD1ECA">
      <w:r>
        <w:t xml:space="preserve">ZABRANA DVOSTRUKOG FINANCIRANJA </w:t>
      </w:r>
    </w:p>
    <w:p w:rsidR="00BD1ECA" w:rsidRDefault="00BD1ECA" w:rsidP="00BD1ECA">
      <w:r>
        <w:t xml:space="preserve">Korisnik ne može dobiti financijsku potporu u sklopu programa </w:t>
      </w:r>
      <w:proofErr w:type="spellStart"/>
      <w:r>
        <w:t>Erasmus</w:t>
      </w:r>
      <w:proofErr w:type="spellEnd"/>
      <w:r>
        <w:t>+ ukoliko je njegova mobilnost dodatno financirana iz sredstava koja potječu iz Europske unije. Prijavom na Natječaj, kandidati potpisuju izjavu o zabrani dvostrukog financiranja.</w:t>
      </w:r>
    </w:p>
    <w:p w:rsidR="00BD1ECA" w:rsidRDefault="00BD1ECA" w:rsidP="00BD1ECA"/>
    <w:p w:rsidR="00BD1ECA" w:rsidRDefault="00BD1ECA" w:rsidP="00BD1ECA">
      <w:r>
        <w:t xml:space="preserve">OSOBLJE S MANJE MOGUĆNOSTI / POTPORA ZA UKLJUČIVOST </w:t>
      </w:r>
    </w:p>
    <w:p w:rsidR="00BD1ECA" w:rsidRDefault="00BD1ECA" w:rsidP="00BD1ECA">
      <w:r>
        <w:t xml:space="preserve">Potencijalni je sudionik osoba čije je osobno, fizičko, mentalno ili zdravstveno stanje takvo da njihovo sudjelovanje u projektu / aktivnosti mobilnosti ne bi bilo moguće bez dodatne financijske ili druge vrste potpore. Visoka učilišta koja su odabrala osoblje s manje mogućnosti mogu zatražiti dodatna bespovratna sredstva od Nacionalne agencije za pokrivanje dodatnih troškova njihova sudjelovanja u aktivnostima mobilnosti. Za osoblje s manje mogućnosti, potpora u obliku bespovratnih sredstava može biti viša od maksimalnih pojedinačnih iznosa bespovratnih sredstava. Osobe u pratnji osoblja s manje mogućnosti imaju pravo na doprinos na temelju stvarnih troškova. Prijavni obrazac za dodjelu dodatne financijske potpore za </w:t>
      </w:r>
      <w:proofErr w:type="spellStart"/>
      <w:r>
        <w:t>uključivost</w:t>
      </w:r>
      <w:proofErr w:type="spellEnd"/>
      <w:r>
        <w:t xml:space="preserve"> nalazi se u Vezanim dokumentima Natječaj</w:t>
      </w:r>
      <w:r>
        <w:t>.</w:t>
      </w:r>
    </w:p>
    <w:p w:rsidR="00BD1ECA" w:rsidRDefault="00BD1ECA" w:rsidP="00BD1ECA"/>
    <w:p w:rsidR="00BD1ECA" w:rsidRDefault="00BD1ECA" w:rsidP="00BD1ECA">
      <w:r>
        <w:lastRenderedPageBreak/>
        <w:t xml:space="preserve">OSOBLJE BEZ FINANCIJSKE POTPORE (ZERO-GRANT STAFF) </w:t>
      </w:r>
    </w:p>
    <w:p w:rsidR="00BD1ECA" w:rsidRDefault="00BD1ECA" w:rsidP="00BD1ECA">
      <w:r>
        <w:t>Nastavno i nenastavno osoblje koje se prijavi na Natječaj i čija prijava udovoljava svim uvjetima, ali ne postoje dostatna sredstva za financiranje njihove mobilnosti, na mobilnost mogu ići o vlastitom trošku uz status osoblja na mobilnosti, tzv. zero-</w:t>
      </w:r>
      <w:proofErr w:type="spellStart"/>
      <w:r>
        <w:t>grant</w:t>
      </w:r>
      <w:proofErr w:type="spellEnd"/>
      <w:r>
        <w:t xml:space="preserve"> </w:t>
      </w:r>
      <w:proofErr w:type="spellStart"/>
      <w:r>
        <w:t>staff</w:t>
      </w:r>
      <w:proofErr w:type="spellEnd"/>
      <w:r>
        <w:t>. Na njih se primjenjuju ista pravila kao i na osoblje koje ima potporu</w:t>
      </w:r>
      <w:r>
        <w:t>.</w:t>
      </w:r>
      <w:bookmarkStart w:id="0" w:name="_GoBack"/>
      <w:bookmarkEnd w:id="0"/>
    </w:p>
    <w:sectPr w:rsidR="00BD1EC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B8D" w:rsidRDefault="00270B8D" w:rsidP="00497E09">
      <w:r>
        <w:separator/>
      </w:r>
    </w:p>
  </w:endnote>
  <w:endnote w:type="continuationSeparator" w:id="0">
    <w:p w:rsidR="00270B8D" w:rsidRDefault="00270B8D" w:rsidP="0049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B8D" w:rsidRDefault="00270B8D" w:rsidP="00497E09">
      <w:r>
        <w:separator/>
      </w:r>
    </w:p>
  </w:footnote>
  <w:footnote w:type="continuationSeparator" w:id="0">
    <w:p w:rsidR="00270B8D" w:rsidRDefault="00270B8D" w:rsidP="00497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96"/>
      <w:gridCol w:w="2264"/>
      <w:gridCol w:w="2740"/>
      <w:gridCol w:w="2126"/>
    </w:tblGrid>
    <w:tr w:rsidR="00C92E48" w:rsidRPr="00C92E48" w:rsidTr="00A51F03">
      <w:trPr>
        <w:trHeight w:val="1655"/>
        <w:jc w:val="center"/>
      </w:trPr>
      <w:tc>
        <w:tcPr>
          <w:tcW w:w="1716" w:type="dxa"/>
          <w:shd w:val="clear" w:color="auto" w:fill="auto"/>
        </w:tcPr>
        <w:p w:rsidR="00C92E48" w:rsidRPr="00C92E48" w:rsidRDefault="00C92E48" w:rsidP="00C92E48">
          <w:pPr>
            <w:tabs>
              <w:tab w:val="center" w:pos="4536"/>
              <w:tab w:val="right" w:pos="9072"/>
            </w:tabs>
            <w:spacing w:before="0"/>
            <w:jc w:val="left"/>
            <w:rPr>
              <w:b/>
              <w:sz w:val="16"/>
              <w:szCs w:val="16"/>
              <w:lang w:eastAsia="en-US" w:bidi="en-US"/>
            </w:rPr>
          </w:pPr>
          <w:r w:rsidRPr="00C92E48">
            <w:rPr>
              <w:b/>
              <w:noProof/>
              <w:sz w:val="16"/>
              <w:szCs w:val="16"/>
              <w:lang w:eastAsia="en-US" w:bidi="en-US"/>
            </w:rPr>
            <w:drawing>
              <wp:inline distT="0" distB="0" distL="0" distR="0" wp14:anchorId="598BF0EF" wp14:editId="68A6DEEF">
                <wp:extent cx="1067175" cy="1057275"/>
                <wp:effectExtent l="0" t="0" r="0" b="0"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621" cy="109239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95" w:type="dxa"/>
          <w:shd w:val="clear" w:color="auto" w:fill="auto"/>
        </w:tcPr>
        <w:p w:rsidR="00C92E48" w:rsidRPr="00C92E48" w:rsidRDefault="00C92E48" w:rsidP="00C92E48">
          <w:pPr>
            <w:tabs>
              <w:tab w:val="center" w:pos="4536"/>
              <w:tab w:val="right" w:pos="9072"/>
            </w:tabs>
            <w:spacing w:before="0" w:line="276" w:lineRule="auto"/>
            <w:jc w:val="left"/>
            <w:rPr>
              <w:sz w:val="18"/>
              <w:szCs w:val="18"/>
              <w:lang w:eastAsia="en-US" w:bidi="en-US"/>
            </w:rPr>
          </w:pPr>
        </w:p>
        <w:p w:rsidR="00C92E48" w:rsidRPr="00C92E48" w:rsidRDefault="00C92E48" w:rsidP="00C92E48">
          <w:pPr>
            <w:tabs>
              <w:tab w:val="center" w:pos="4536"/>
              <w:tab w:val="right" w:pos="9072"/>
            </w:tabs>
            <w:spacing w:before="0" w:line="276" w:lineRule="auto"/>
            <w:jc w:val="center"/>
            <w:rPr>
              <w:sz w:val="20"/>
              <w:szCs w:val="18"/>
              <w:lang w:eastAsia="en-US" w:bidi="en-US"/>
            </w:rPr>
          </w:pPr>
          <w:r w:rsidRPr="00C92E48">
            <w:rPr>
              <w:sz w:val="20"/>
              <w:szCs w:val="18"/>
              <w:lang w:eastAsia="en-US" w:bidi="en-US"/>
            </w:rPr>
            <w:t>Veleučilište Arca</w:t>
          </w:r>
        </w:p>
        <w:p w:rsidR="00C92E48" w:rsidRPr="00C92E48" w:rsidRDefault="00BD1ECA" w:rsidP="00C92E48">
          <w:pPr>
            <w:tabs>
              <w:tab w:val="center" w:pos="4536"/>
              <w:tab w:val="right" w:pos="9072"/>
            </w:tabs>
            <w:spacing w:before="0" w:line="276" w:lineRule="auto"/>
            <w:jc w:val="center"/>
            <w:rPr>
              <w:sz w:val="20"/>
              <w:szCs w:val="18"/>
              <w:lang w:eastAsia="en-US" w:bidi="en-US"/>
            </w:rPr>
          </w:pPr>
          <w:proofErr w:type="spellStart"/>
          <w:r>
            <w:rPr>
              <w:sz w:val="20"/>
              <w:szCs w:val="18"/>
              <w:lang w:eastAsia="en-US" w:bidi="en-US"/>
            </w:rPr>
            <w:t>Gundulićeva</w:t>
          </w:r>
          <w:proofErr w:type="spellEnd"/>
          <w:r>
            <w:rPr>
              <w:sz w:val="20"/>
              <w:szCs w:val="18"/>
              <w:lang w:eastAsia="en-US" w:bidi="en-US"/>
            </w:rPr>
            <w:t xml:space="preserve"> 26</w:t>
          </w:r>
        </w:p>
        <w:p w:rsidR="00C92E48" w:rsidRPr="00C92E48" w:rsidRDefault="00C92E48" w:rsidP="00C92E48">
          <w:pPr>
            <w:tabs>
              <w:tab w:val="center" w:pos="4536"/>
              <w:tab w:val="right" w:pos="9072"/>
            </w:tabs>
            <w:spacing w:before="0" w:line="276" w:lineRule="auto"/>
            <w:jc w:val="center"/>
            <w:rPr>
              <w:sz w:val="20"/>
              <w:szCs w:val="18"/>
              <w:lang w:eastAsia="en-US" w:bidi="en-US"/>
            </w:rPr>
          </w:pPr>
          <w:r w:rsidRPr="00C92E48">
            <w:rPr>
              <w:sz w:val="20"/>
              <w:szCs w:val="18"/>
              <w:lang w:eastAsia="en-US" w:bidi="en-US"/>
            </w:rPr>
            <w:t>21000, Split</w:t>
          </w:r>
        </w:p>
        <w:p w:rsidR="00C92E48" w:rsidRPr="00C92E48" w:rsidRDefault="00C92E48" w:rsidP="00C92E48">
          <w:pPr>
            <w:tabs>
              <w:tab w:val="center" w:pos="4536"/>
              <w:tab w:val="right" w:pos="9072"/>
            </w:tabs>
            <w:spacing w:before="0" w:line="276" w:lineRule="auto"/>
            <w:jc w:val="left"/>
            <w:rPr>
              <w:sz w:val="16"/>
              <w:szCs w:val="16"/>
              <w:lang w:eastAsia="en-US" w:bidi="en-US"/>
            </w:rPr>
          </w:pPr>
        </w:p>
      </w:tc>
      <w:tc>
        <w:tcPr>
          <w:tcW w:w="2813" w:type="dxa"/>
          <w:shd w:val="clear" w:color="auto" w:fill="auto"/>
        </w:tcPr>
        <w:p w:rsidR="00C92E48" w:rsidRPr="00C92E48" w:rsidRDefault="00C92E48" w:rsidP="00C92E48">
          <w:pPr>
            <w:tabs>
              <w:tab w:val="center" w:pos="4536"/>
              <w:tab w:val="right" w:pos="9072"/>
            </w:tabs>
            <w:spacing w:before="0" w:line="276" w:lineRule="auto"/>
            <w:jc w:val="left"/>
            <w:rPr>
              <w:sz w:val="18"/>
              <w:szCs w:val="18"/>
              <w:lang w:eastAsia="en-US" w:bidi="en-US"/>
            </w:rPr>
          </w:pPr>
        </w:p>
        <w:p w:rsidR="00C92E48" w:rsidRPr="00C92E48" w:rsidRDefault="00C92E48" w:rsidP="00C92E48">
          <w:pPr>
            <w:tabs>
              <w:tab w:val="center" w:pos="4536"/>
              <w:tab w:val="right" w:pos="9072"/>
            </w:tabs>
            <w:spacing w:before="0" w:line="276" w:lineRule="auto"/>
            <w:rPr>
              <w:sz w:val="18"/>
              <w:szCs w:val="18"/>
              <w:lang w:eastAsia="en-US" w:bidi="en-US"/>
            </w:rPr>
          </w:pPr>
          <w:r w:rsidRPr="00C92E48">
            <w:rPr>
              <w:sz w:val="18"/>
              <w:szCs w:val="18"/>
              <w:lang w:eastAsia="en-US" w:bidi="en-US"/>
            </w:rPr>
            <w:t>Tel: +385 97 620 4677</w:t>
          </w:r>
        </w:p>
        <w:p w:rsidR="00C92E48" w:rsidRPr="00C92E48" w:rsidRDefault="00C92E48" w:rsidP="00C92E48">
          <w:pPr>
            <w:tabs>
              <w:tab w:val="center" w:pos="4536"/>
              <w:tab w:val="right" w:pos="9072"/>
            </w:tabs>
            <w:spacing w:before="0" w:line="276" w:lineRule="auto"/>
            <w:jc w:val="left"/>
            <w:rPr>
              <w:sz w:val="18"/>
              <w:szCs w:val="18"/>
              <w:lang w:eastAsia="en-US" w:bidi="en-US"/>
            </w:rPr>
          </w:pPr>
          <w:r w:rsidRPr="00C92E48">
            <w:rPr>
              <w:sz w:val="18"/>
              <w:szCs w:val="18"/>
              <w:lang w:eastAsia="en-US" w:bidi="en-US"/>
            </w:rPr>
            <w:t>Web: www.</w:t>
          </w:r>
          <w:r w:rsidR="0002697E">
            <w:rPr>
              <w:sz w:val="18"/>
              <w:szCs w:val="18"/>
              <w:lang w:eastAsia="en-US" w:bidi="en-US"/>
            </w:rPr>
            <w:t>velarca.hr</w:t>
          </w:r>
        </w:p>
        <w:p w:rsidR="00C92E48" w:rsidRPr="00C92E48" w:rsidRDefault="00C92E48" w:rsidP="00C92E48">
          <w:pPr>
            <w:tabs>
              <w:tab w:val="center" w:pos="4536"/>
              <w:tab w:val="right" w:pos="9072"/>
            </w:tabs>
            <w:spacing w:before="0" w:line="276" w:lineRule="auto"/>
            <w:jc w:val="left"/>
            <w:rPr>
              <w:sz w:val="18"/>
              <w:szCs w:val="18"/>
              <w:lang w:eastAsia="en-US" w:bidi="en-US"/>
            </w:rPr>
          </w:pPr>
          <w:proofErr w:type="spellStart"/>
          <w:r w:rsidRPr="00C92E48">
            <w:rPr>
              <w:sz w:val="18"/>
              <w:szCs w:val="18"/>
              <w:lang w:eastAsia="en-US" w:bidi="en-US"/>
            </w:rPr>
            <w:t>Email:referada@</w:t>
          </w:r>
          <w:r w:rsidR="0002697E">
            <w:rPr>
              <w:sz w:val="18"/>
              <w:szCs w:val="18"/>
              <w:lang w:eastAsia="en-US" w:bidi="en-US"/>
            </w:rPr>
            <w:t>velarca.hr</w:t>
          </w:r>
          <w:proofErr w:type="spellEnd"/>
        </w:p>
        <w:p w:rsidR="00C92E48" w:rsidRPr="00C92E48" w:rsidRDefault="00C92E48" w:rsidP="00C92E48">
          <w:pPr>
            <w:tabs>
              <w:tab w:val="center" w:pos="4536"/>
              <w:tab w:val="right" w:pos="9072"/>
            </w:tabs>
            <w:spacing w:before="0" w:line="276" w:lineRule="auto"/>
            <w:jc w:val="left"/>
            <w:rPr>
              <w:sz w:val="18"/>
              <w:szCs w:val="18"/>
              <w:lang w:eastAsia="en-US" w:bidi="en-US"/>
            </w:rPr>
          </w:pPr>
          <w:r w:rsidRPr="00C92E48">
            <w:rPr>
              <w:sz w:val="18"/>
              <w:szCs w:val="18"/>
              <w:lang w:eastAsia="en-US" w:bidi="en-US"/>
            </w:rPr>
            <w:t>OIB: 06755374111</w:t>
          </w:r>
        </w:p>
        <w:p w:rsidR="00C92E48" w:rsidRPr="00C92E48" w:rsidRDefault="00C92E48" w:rsidP="00C92E48">
          <w:pPr>
            <w:tabs>
              <w:tab w:val="center" w:pos="4536"/>
              <w:tab w:val="right" w:pos="9072"/>
            </w:tabs>
            <w:spacing w:before="0" w:line="276" w:lineRule="auto"/>
            <w:jc w:val="left"/>
            <w:rPr>
              <w:sz w:val="18"/>
              <w:szCs w:val="18"/>
              <w:lang w:eastAsia="en-US" w:bidi="en-US"/>
            </w:rPr>
          </w:pPr>
          <w:r w:rsidRPr="00C92E48">
            <w:rPr>
              <w:sz w:val="18"/>
              <w:szCs w:val="18"/>
              <w:lang w:eastAsia="en-US" w:bidi="en-US"/>
            </w:rPr>
            <w:t>MB: 2785722</w:t>
          </w:r>
        </w:p>
      </w:tc>
      <w:tc>
        <w:tcPr>
          <w:tcW w:w="2148" w:type="dxa"/>
        </w:tcPr>
        <w:p w:rsidR="00C92E48" w:rsidRPr="00C92E48" w:rsidRDefault="00C92E48" w:rsidP="00C92E48">
          <w:pPr>
            <w:tabs>
              <w:tab w:val="center" w:pos="4536"/>
              <w:tab w:val="right" w:pos="9072"/>
            </w:tabs>
            <w:spacing w:before="0" w:line="276" w:lineRule="auto"/>
            <w:jc w:val="left"/>
            <w:rPr>
              <w:sz w:val="18"/>
              <w:szCs w:val="18"/>
              <w:lang w:eastAsia="en-US" w:bidi="en-US"/>
            </w:rPr>
          </w:pPr>
          <w:r w:rsidRPr="00C92E48">
            <w:rPr>
              <w:noProof/>
              <w:sz w:val="18"/>
              <w:szCs w:val="18"/>
            </w:rPr>
            <w:drawing>
              <wp:inline distT="0" distB="0" distL="0" distR="0" wp14:anchorId="64C3560E" wp14:editId="34C9521F">
                <wp:extent cx="1076325" cy="1028700"/>
                <wp:effectExtent l="19050" t="0" r="9525" b="0"/>
                <wp:docPr id="4" name="Slika 4" descr="ISO_9001_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SO_9001_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97E09" w:rsidRPr="00497E09" w:rsidRDefault="00497E09" w:rsidP="00497E0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965F9C"/>
    <w:multiLevelType w:val="hybridMultilevel"/>
    <w:tmpl w:val="F3AEF5EA"/>
    <w:lvl w:ilvl="0" w:tplc="8B98EF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022"/>
    <w:rsid w:val="0002697E"/>
    <w:rsid w:val="00085695"/>
    <w:rsid w:val="00105C8A"/>
    <w:rsid w:val="001E2398"/>
    <w:rsid w:val="001F23DA"/>
    <w:rsid w:val="00270B8D"/>
    <w:rsid w:val="003103AB"/>
    <w:rsid w:val="003D2D92"/>
    <w:rsid w:val="00415DE3"/>
    <w:rsid w:val="00467022"/>
    <w:rsid w:val="00467DAD"/>
    <w:rsid w:val="00497E09"/>
    <w:rsid w:val="00504D3B"/>
    <w:rsid w:val="005F0D71"/>
    <w:rsid w:val="006C14BA"/>
    <w:rsid w:val="006E7355"/>
    <w:rsid w:val="008273AB"/>
    <w:rsid w:val="008C0A91"/>
    <w:rsid w:val="00907F07"/>
    <w:rsid w:val="009E78D7"/>
    <w:rsid w:val="00AB1E60"/>
    <w:rsid w:val="00AB2726"/>
    <w:rsid w:val="00AE02E8"/>
    <w:rsid w:val="00BB3D6E"/>
    <w:rsid w:val="00BD1ECA"/>
    <w:rsid w:val="00C92E48"/>
    <w:rsid w:val="00DD0203"/>
    <w:rsid w:val="00DD1DCA"/>
    <w:rsid w:val="00E35D26"/>
    <w:rsid w:val="00E47223"/>
    <w:rsid w:val="00E7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437DD2"/>
  <w15:chartTrackingRefBased/>
  <w15:docId w15:val="{2DFBB3E6-C468-4DE0-AC40-9BA95E925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D6E"/>
    <w:pPr>
      <w:spacing w:before="10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C14BA"/>
    <w:pPr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497E09"/>
    <w:pPr>
      <w:tabs>
        <w:tab w:val="center" w:pos="4513"/>
        <w:tab w:val="right" w:pos="9026"/>
      </w:tabs>
      <w:spacing w:befor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497E09"/>
  </w:style>
  <w:style w:type="paragraph" w:styleId="Podnoje">
    <w:name w:val="footer"/>
    <w:basedOn w:val="Normal"/>
    <w:link w:val="PodnojeChar"/>
    <w:uiPriority w:val="99"/>
    <w:unhideWhenUsed/>
    <w:rsid w:val="00497E09"/>
    <w:pPr>
      <w:tabs>
        <w:tab w:val="center" w:pos="4513"/>
        <w:tab w:val="right" w:pos="9026"/>
      </w:tabs>
      <w:spacing w:befor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497E09"/>
  </w:style>
  <w:style w:type="character" w:styleId="Hiperveza">
    <w:name w:val="Hyperlink"/>
    <w:basedOn w:val="Zadanifontodlomka"/>
    <w:uiPriority w:val="99"/>
    <w:unhideWhenUsed/>
    <w:rsid w:val="009E78D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E78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70DF6-19ED-4E3C-89A3-9D3CC3A68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Predator</cp:lastModifiedBy>
  <cp:revision>5</cp:revision>
  <cp:lastPrinted>2022-01-10T07:55:00Z</cp:lastPrinted>
  <dcterms:created xsi:type="dcterms:W3CDTF">2023-07-25T10:58:00Z</dcterms:created>
  <dcterms:modified xsi:type="dcterms:W3CDTF">2025-09-03T12:21:00Z</dcterms:modified>
</cp:coreProperties>
</file>